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71E93" w14:textId="55FAF0D7" w:rsidR="000650C4" w:rsidRPr="001A5219" w:rsidRDefault="001A5219" w:rsidP="00044D42">
      <w:pPr>
        <w:spacing w:line="276" w:lineRule="auto"/>
        <w:jc w:val="both"/>
        <w:rPr>
          <w:rFonts w:ascii="Arial" w:hAnsi="Arial"/>
        </w:rPr>
      </w:pPr>
      <w:r>
        <w:rPr>
          <w:rFonts w:ascii="Arial" w:hAnsi="Arial"/>
        </w:rPr>
        <w:t>((Fachzeitschrift HAUT _ red. Beitrag zum Thema Hautkrebs _ Ausgabe 03/2015))</w:t>
      </w:r>
    </w:p>
    <w:p w14:paraId="121CCA2B" w14:textId="77777777" w:rsidR="000650C4" w:rsidRDefault="000650C4" w:rsidP="00044D42">
      <w:pPr>
        <w:spacing w:line="276" w:lineRule="auto"/>
        <w:jc w:val="both"/>
        <w:rPr>
          <w:rFonts w:ascii="Arial Black" w:hAnsi="Arial Black"/>
        </w:rPr>
      </w:pPr>
    </w:p>
    <w:p w14:paraId="75848226" w14:textId="77777777" w:rsidR="000650C4" w:rsidRDefault="000650C4" w:rsidP="00044D42">
      <w:pPr>
        <w:spacing w:line="276" w:lineRule="auto"/>
        <w:jc w:val="both"/>
        <w:rPr>
          <w:rFonts w:ascii="Arial Black" w:hAnsi="Arial Black"/>
        </w:rPr>
      </w:pPr>
    </w:p>
    <w:p w14:paraId="4B78AEA2" w14:textId="77777777" w:rsidR="00557DAA" w:rsidRPr="0091167E" w:rsidRDefault="00557DAA" w:rsidP="0091167E">
      <w:pPr>
        <w:spacing w:line="276" w:lineRule="auto"/>
        <w:jc w:val="center"/>
        <w:rPr>
          <w:rFonts w:ascii="Arial Black" w:hAnsi="Arial Black"/>
          <w:sz w:val="32"/>
          <w:szCs w:val="32"/>
        </w:rPr>
      </w:pPr>
      <w:r w:rsidRPr="0091167E">
        <w:rPr>
          <w:rFonts w:ascii="Arial Black" w:hAnsi="Arial Black"/>
          <w:sz w:val="32"/>
          <w:szCs w:val="32"/>
        </w:rPr>
        <w:t>Hautkrebs in der präventiven Dermatologie</w:t>
      </w:r>
    </w:p>
    <w:p w14:paraId="6FD047A1" w14:textId="44D567E7" w:rsidR="00557DAA" w:rsidRDefault="0091167E" w:rsidP="0091167E">
      <w:pPr>
        <w:spacing w:line="276" w:lineRule="auto"/>
        <w:jc w:val="center"/>
        <w:rPr>
          <w:rFonts w:ascii="Arial Black" w:hAnsi="Arial Black"/>
        </w:rPr>
      </w:pPr>
      <w:r>
        <w:rPr>
          <w:rFonts w:ascii="Arial Black" w:hAnsi="Arial Black"/>
        </w:rPr>
        <w:t>Konzept für den Aufbau einer onkologischen Sprechstunde mit Integration einer präventiven Dermatologie.</w:t>
      </w:r>
    </w:p>
    <w:p w14:paraId="36931D3C" w14:textId="77777777" w:rsidR="0091167E" w:rsidRPr="0091167E" w:rsidRDefault="0091167E" w:rsidP="00044D42">
      <w:pPr>
        <w:spacing w:line="276" w:lineRule="auto"/>
        <w:jc w:val="both"/>
        <w:rPr>
          <w:rFonts w:ascii="Arial Black" w:hAnsi="Arial Black"/>
        </w:rPr>
      </w:pPr>
    </w:p>
    <w:p w14:paraId="17C78079" w14:textId="02EB35C8" w:rsidR="00044D42" w:rsidRDefault="00557DAA" w:rsidP="00044D42">
      <w:pPr>
        <w:spacing w:line="276" w:lineRule="auto"/>
        <w:jc w:val="both"/>
        <w:rPr>
          <w:rFonts w:ascii="Arial" w:hAnsi="Arial"/>
          <w:b/>
        </w:rPr>
      </w:pPr>
      <w:r w:rsidRPr="00557DAA">
        <w:rPr>
          <w:rFonts w:ascii="Arial" w:hAnsi="Arial"/>
          <w:b/>
        </w:rPr>
        <w:t xml:space="preserve">Im Jahr 2014 erkrankten </w:t>
      </w:r>
      <w:r>
        <w:rPr>
          <w:rFonts w:ascii="Arial" w:hAnsi="Arial"/>
          <w:b/>
        </w:rPr>
        <w:t xml:space="preserve">in Deutschland </w:t>
      </w:r>
      <w:r w:rsidRPr="00557DAA">
        <w:rPr>
          <w:rFonts w:ascii="Arial" w:hAnsi="Arial"/>
          <w:b/>
        </w:rPr>
        <w:t>über 25</w:t>
      </w:r>
      <w:r w:rsidR="007A054D">
        <w:rPr>
          <w:rFonts w:ascii="Arial" w:hAnsi="Arial"/>
          <w:b/>
        </w:rPr>
        <w:t xml:space="preserve">0.000 Menschen neu an Hautkrebs – 30.000 davon </w:t>
      </w:r>
      <w:r w:rsidR="00044D42">
        <w:rPr>
          <w:rFonts w:ascii="Arial" w:hAnsi="Arial"/>
          <w:b/>
        </w:rPr>
        <w:t>am malignen Melanom. Etwa</w:t>
      </w:r>
      <w:r w:rsidR="007A054D">
        <w:rPr>
          <w:rFonts w:ascii="Arial" w:hAnsi="Arial"/>
          <w:b/>
        </w:rPr>
        <w:t xml:space="preserve"> 3.000 </w:t>
      </w:r>
      <w:r w:rsidR="00044D42">
        <w:rPr>
          <w:rFonts w:ascii="Arial" w:hAnsi="Arial"/>
          <w:b/>
        </w:rPr>
        <w:t>sterben jedes Jahr an dieser Krebsform</w:t>
      </w:r>
      <w:r w:rsidR="007A054D">
        <w:rPr>
          <w:rFonts w:ascii="Arial" w:hAnsi="Arial"/>
          <w:b/>
        </w:rPr>
        <w:t xml:space="preserve">. </w:t>
      </w:r>
      <w:r w:rsidR="00044D42">
        <w:rPr>
          <w:rFonts w:ascii="Arial" w:hAnsi="Arial"/>
          <w:b/>
        </w:rPr>
        <w:t xml:space="preserve">Damit ist Hautkrebs die häufigste Krebserkrankung überhaupt und zeigt, wie wichtig Präventivbehandlungen </w:t>
      </w:r>
      <w:r w:rsidR="00531D61">
        <w:rPr>
          <w:rFonts w:ascii="Arial" w:hAnsi="Arial"/>
          <w:b/>
        </w:rPr>
        <w:t>als</w:t>
      </w:r>
      <w:r w:rsidR="00044D42">
        <w:rPr>
          <w:rFonts w:ascii="Arial" w:hAnsi="Arial"/>
          <w:b/>
        </w:rPr>
        <w:t xml:space="preserve"> Krebsvorsorge geworden sind.</w:t>
      </w:r>
    </w:p>
    <w:p w14:paraId="39898E9F" w14:textId="77777777" w:rsidR="00044D42" w:rsidRDefault="00044D42" w:rsidP="00044D42">
      <w:pPr>
        <w:spacing w:line="276" w:lineRule="auto"/>
        <w:jc w:val="both"/>
        <w:rPr>
          <w:rFonts w:ascii="Arial" w:hAnsi="Arial"/>
          <w:b/>
        </w:rPr>
      </w:pPr>
    </w:p>
    <w:p w14:paraId="3F1765A5" w14:textId="4F2B2510" w:rsidR="00A04D26" w:rsidRDefault="00706D09" w:rsidP="00044D42">
      <w:pPr>
        <w:spacing w:line="276" w:lineRule="auto"/>
        <w:jc w:val="both"/>
        <w:rPr>
          <w:rFonts w:ascii="Arial" w:hAnsi="Arial"/>
        </w:rPr>
      </w:pPr>
      <w:r>
        <w:rPr>
          <w:rFonts w:ascii="Arial" w:hAnsi="Arial"/>
        </w:rPr>
        <w:t xml:space="preserve">Prävention zielt auf die Vermeidung von Gesundheitsrisiken. Und Gesundheitsförderung ist primär auf die Stärkung persönlicher und sozialer Gesundheitsressourcen und Schutzfaktoren eines Menschen bezogen. Maßnahmen der Gesundheitsförderung greifen auf allen Stufen der Prävention ein. </w:t>
      </w:r>
      <w:r w:rsidR="00A04D26">
        <w:rPr>
          <w:rFonts w:ascii="Arial" w:hAnsi="Arial"/>
        </w:rPr>
        <w:t>In der Dermatologie finden sich viele Präventionsansätze, wie beispielsweise das Hautscreening zur Früherkennung von Hautkrebs.</w:t>
      </w:r>
      <w:r w:rsidR="00CF3A61">
        <w:rPr>
          <w:rFonts w:ascii="Arial" w:hAnsi="Arial"/>
        </w:rPr>
        <w:t xml:space="preserve"> Doch obwoh</w:t>
      </w:r>
      <w:r w:rsidR="00531D61">
        <w:rPr>
          <w:rFonts w:ascii="Arial" w:hAnsi="Arial"/>
        </w:rPr>
        <w:t>l seit dem 1. Juli 2008 gesetzlich Versich</w:t>
      </w:r>
      <w:r w:rsidR="00CF3A61">
        <w:rPr>
          <w:rFonts w:ascii="Arial" w:hAnsi="Arial"/>
        </w:rPr>
        <w:t>erte ab 35 Jahren alle zwei Jahre Anspruch auf ein Hautkrebs-Screening haben, nehmen lt. Hochrechnung der Arbeitsgemeinschaft Dermatologische Präve</w:t>
      </w:r>
      <w:r w:rsidR="00531D61">
        <w:rPr>
          <w:rFonts w:ascii="Arial" w:hAnsi="Arial"/>
        </w:rPr>
        <w:t>ntion rund 13 Millionen Versich</w:t>
      </w:r>
      <w:r w:rsidR="00CF3A61">
        <w:rPr>
          <w:rFonts w:ascii="Arial" w:hAnsi="Arial"/>
        </w:rPr>
        <w:t xml:space="preserve">erte, also ca. 30 Prozent, an dem Screening teil. Schon daher ist meines Erachtens die Präventivbehandlung </w:t>
      </w:r>
      <w:r w:rsidR="00531D61">
        <w:rPr>
          <w:rFonts w:ascii="Arial" w:hAnsi="Arial"/>
        </w:rPr>
        <w:t>als</w:t>
      </w:r>
      <w:r w:rsidR="00CF3A61">
        <w:rPr>
          <w:rFonts w:ascii="Arial" w:hAnsi="Arial"/>
        </w:rPr>
        <w:t xml:space="preserve"> Krebsvorsorge e</w:t>
      </w:r>
      <w:r w:rsidR="00A04D26">
        <w:rPr>
          <w:rFonts w:ascii="Arial" w:hAnsi="Arial"/>
        </w:rPr>
        <w:t xml:space="preserve">ine wichtige Form </w:t>
      </w:r>
      <w:r w:rsidR="00531D61">
        <w:rPr>
          <w:rFonts w:ascii="Arial" w:hAnsi="Arial"/>
        </w:rPr>
        <w:t xml:space="preserve">in Dermatologischen Praxen, die </w:t>
      </w:r>
      <w:r w:rsidR="00CF3A61">
        <w:rPr>
          <w:rFonts w:ascii="Arial" w:hAnsi="Arial"/>
        </w:rPr>
        <w:t>in das Leistungsspektrum etabliert werden sollte.</w:t>
      </w:r>
    </w:p>
    <w:p w14:paraId="70232059" w14:textId="77777777" w:rsidR="00CF3A61" w:rsidRDefault="00CF3A61" w:rsidP="00044D42">
      <w:pPr>
        <w:spacing w:line="276" w:lineRule="auto"/>
        <w:jc w:val="both"/>
        <w:rPr>
          <w:rFonts w:ascii="Arial" w:hAnsi="Arial"/>
        </w:rPr>
      </w:pPr>
    </w:p>
    <w:p w14:paraId="3CE809E1" w14:textId="466049D5" w:rsidR="00A04D26" w:rsidRPr="00CF3A61" w:rsidRDefault="00CF3A61" w:rsidP="00044D42">
      <w:pPr>
        <w:spacing w:line="276" w:lineRule="auto"/>
        <w:jc w:val="both"/>
        <w:rPr>
          <w:rFonts w:ascii="Arial" w:hAnsi="Arial"/>
          <w:b/>
        </w:rPr>
      </w:pPr>
      <w:r w:rsidRPr="00CF3A61">
        <w:rPr>
          <w:rFonts w:ascii="Arial" w:hAnsi="Arial"/>
          <w:b/>
        </w:rPr>
        <w:t xml:space="preserve">Wege der Vorbeugung in der präventiven Dermatologie </w:t>
      </w:r>
    </w:p>
    <w:p w14:paraId="32D3A3BF" w14:textId="7C3DACB3" w:rsidR="00CF3A61" w:rsidRPr="0072084D" w:rsidRDefault="00CF3A61" w:rsidP="00CF3A61">
      <w:pPr>
        <w:spacing w:line="276" w:lineRule="auto"/>
        <w:jc w:val="both"/>
        <w:rPr>
          <w:rFonts w:ascii="Arial" w:hAnsi="Arial"/>
        </w:rPr>
      </w:pPr>
      <w:r w:rsidRPr="0072084D">
        <w:rPr>
          <w:rFonts w:ascii="Arial" w:hAnsi="Arial"/>
        </w:rPr>
        <w:t>In Zukunft wird die Prävention von Hauttumoren eine der wichtigsten Aufgaben für die Dermatologie sein. Dabei liegt die bedeutendste präventive Maßnahme in der Meidung der wich</w:t>
      </w:r>
      <w:r>
        <w:rPr>
          <w:rFonts w:ascii="Arial" w:hAnsi="Arial"/>
        </w:rPr>
        <w:t>tigsten kanzerogenen Noxe, der U</w:t>
      </w:r>
      <w:r w:rsidRPr="0072084D">
        <w:rPr>
          <w:rFonts w:ascii="Arial" w:hAnsi="Arial"/>
        </w:rPr>
        <w:t>V-St</w:t>
      </w:r>
      <w:r>
        <w:rPr>
          <w:rFonts w:ascii="Arial" w:hAnsi="Arial"/>
        </w:rPr>
        <w:t>rahlung. Auf</w:t>
      </w:r>
      <w:r w:rsidRPr="0072084D">
        <w:rPr>
          <w:rFonts w:ascii="Arial" w:hAnsi="Arial"/>
        </w:rPr>
        <w:t>klärung und eindeutige Präventivmaßnahmen sind notwendig, um die Zunahme von Hauttumoren und Präkanzerosen zu vermeiden.</w:t>
      </w:r>
    </w:p>
    <w:p w14:paraId="629D44AB" w14:textId="77777777" w:rsidR="00CF3A61" w:rsidRDefault="00CF3A61" w:rsidP="00044D42">
      <w:pPr>
        <w:spacing w:line="276" w:lineRule="auto"/>
        <w:jc w:val="both"/>
        <w:rPr>
          <w:rFonts w:ascii="Arial" w:hAnsi="Arial"/>
        </w:rPr>
      </w:pPr>
    </w:p>
    <w:p w14:paraId="76FD57ED" w14:textId="5B39B85E" w:rsidR="00CF3A61" w:rsidRDefault="00164BB6" w:rsidP="00044D42">
      <w:pPr>
        <w:spacing w:line="276" w:lineRule="auto"/>
        <w:jc w:val="both"/>
        <w:rPr>
          <w:rFonts w:ascii="Arial" w:hAnsi="Arial"/>
        </w:rPr>
      </w:pPr>
      <w:r>
        <w:rPr>
          <w:rFonts w:ascii="Arial" w:hAnsi="Arial"/>
        </w:rPr>
        <w:t>Mit jährlich rund 119.000 registrierten Neuerkrankungsfällen kommt der Nicht-melanozytäre Hautkrebs (NMSC) 6,5mal häufiger in Deutschland vor als das maligne Melanom (1). Aus einer Vielzahl von epidemiologischen, medizinischen und experimentellen Untersuchungen lässt sich als der wichtigste konstitutionelle Risikofaktor für die NMSCs der Hauttyp identifizieren.</w:t>
      </w:r>
    </w:p>
    <w:p w14:paraId="764A8874" w14:textId="77777777" w:rsidR="007609C7" w:rsidRDefault="007609C7" w:rsidP="00044D42">
      <w:pPr>
        <w:spacing w:line="276" w:lineRule="auto"/>
        <w:jc w:val="both"/>
        <w:rPr>
          <w:rFonts w:ascii="Arial" w:hAnsi="Arial"/>
        </w:rPr>
      </w:pPr>
    </w:p>
    <w:p w14:paraId="5872A70D" w14:textId="2461BA89" w:rsidR="00A05558" w:rsidRPr="007609C7" w:rsidRDefault="00BF59DB" w:rsidP="00044D42">
      <w:pPr>
        <w:spacing w:line="276" w:lineRule="auto"/>
        <w:jc w:val="both"/>
        <w:rPr>
          <w:rFonts w:ascii="Arial" w:hAnsi="Arial"/>
          <w:b/>
        </w:rPr>
      </w:pPr>
      <w:r w:rsidRPr="000650C4">
        <w:rPr>
          <w:rFonts w:ascii="Arial" w:hAnsi="Arial"/>
          <w:b/>
        </w:rPr>
        <w:t xml:space="preserve">Tabelle: Hauttypen </w:t>
      </w:r>
    </w:p>
    <w:p w14:paraId="417F71A5" w14:textId="77777777" w:rsidR="00A05558" w:rsidRDefault="00A05558" w:rsidP="00044D42">
      <w:pPr>
        <w:spacing w:line="276" w:lineRule="auto"/>
        <w:jc w:val="both"/>
        <w:rPr>
          <w:rFonts w:ascii="Arial" w:hAnsi="Arial"/>
        </w:rPr>
      </w:pPr>
    </w:p>
    <w:tbl>
      <w:tblPr>
        <w:tblStyle w:val="HelleSchattierung-Akzent5"/>
        <w:tblW w:w="0" w:type="auto"/>
        <w:tblLook w:val="04A0" w:firstRow="1" w:lastRow="0" w:firstColumn="1" w:lastColumn="0" w:noHBand="0" w:noVBand="1"/>
      </w:tblPr>
      <w:tblGrid>
        <w:gridCol w:w="2847"/>
        <w:gridCol w:w="1045"/>
        <w:gridCol w:w="1045"/>
        <w:gridCol w:w="1138"/>
        <w:gridCol w:w="885"/>
        <w:gridCol w:w="1053"/>
        <w:gridCol w:w="1053"/>
      </w:tblGrid>
      <w:tr w:rsidR="0039411B" w14:paraId="75BBA28D" w14:textId="77777777" w:rsidTr="003941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0" w:type="dxa"/>
          </w:tcPr>
          <w:p w14:paraId="5D94CBCE" w14:textId="60049435" w:rsidR="004C7132" w:rsidRDefault="004C7132" w:rsidP="00044D42">
            <w:pPr>
              <w:spacing w:line="276" w:lineRule="auto"/>
              <w:jc w:val="both"/>
              <w:rPr>
                <w:rFonts w:ascii="Arial" w:hAnsi="Arial"/>
              </w:rPr>
            </w:pPr>
            <w:r>
              <w:rPr>
                <w:rFonts w:ascii="Arial" w:hAnsi="Arial"/>
              </w:rPr>
              <w:t>Hauttyp</w:t>
            </w:r>
          </w:p>
        </w:tc>
        <w:tc>
          <w:tcPr>
            <w:tcW w:w="1012" w:type="dxa"/>
          </w:tcPr>
          <w:p w14:paraId="305B847D" w14:textId="2AB6ABDE" w:rsidR="004C7132" w:rsidRDefault="004C7132" w:rsidP="00044D42">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rPr>
            </w:pPr>
            <w:r>
              <w:rPr>
                <w:rFonts w:ascii="Arial" w:hAnsi="Arial"/>
              </w:rPr>
              <w:t>I</w:t>
            </w:r>
          </w:p>
        </w:tc>
        <w:tc>
          <w:tcPr>
            <w:tcW w:w="1157" w:type="dxa"/>
          </w:tcPr>
          <w:p w14:paraId="41F68368" w14:textId="3CEC2BBB" w:rsidR="004C7132" w:rsidRDefault="004C7132" w:rsidP="00044D42">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rPr>
            </w:pPr>
            <w:r>
              <w:rPr>
                <w:rFonts w:ascii="Arial" w:hAnsi="Arial"/>
              </w:rPr>
              <w:t>II</w:t>
            </w:r>
          </w:p>
        </w:tc>
        <w:tc>
          <w:tcPr>
            <w:tcW w:w="1320" w:type="dxa"/>
          </w:tcPr>
          <w:p w14:paraId="291BF803" w14:textId="4B5674BB" w:rsidR="004C7132" w:rsidRDefault="004C7132" w:rsidP="00044D42">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rPr>
            </w:pPr>
            <w:r>
              <w:rPr>
                <w:rFonts w:ascii="Arial" w:hAnsi="Arial"/>
              </w:rPr>
              <w:t>III</w:t>
            </w:r>
          </w:p>
        </w:tc>
        <w:tc>
          <w:tcPr>
            <w:tcW w:w="1261" w:type="dxa"/>
          </w:tcPr>
          <w:p w14:paraId="31064CA7" w14:textId="4EC914EE" w:rsidR="004C7132" w:rsidRDefault="004C7132" w:rsidP="00044D42">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rPr>
            </w:pPr>
            <w:r>
              <w:rPr>
                <w:rFonts w:ascii="Arial" w:hAnsi="Arial"/>
              </w:rPr>
              <w:t>IV</w:t>
            </w:r>
          </w:p>
        </w:tc>
        <w:tc>
          <w:tcPr>
            <w:tcW w:w="1261" w:type="dxa"/>
          </w:tcPr>
          <w:p w14:paraId="59B77A08" w14:textId="1334D6FD" w:rsidR="004C7132" w:rsidRDefault="004C7132" w:rsidP="00044D42">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rPr>
            </w:pPr>
            <w:r>
              <w:rPr>
                <w:rFonts w:ascii="Arial" w:hAnsi="Arial"/>
              </w:rPr>
              <w:t>V</w:t>
            </w:r>
          </w:p>
        </w:tc>
        <w:tc>
          <w:tcPr>
            <w:tcW w:w="1261" w:type="dxa"/>
          </w:tcPr>
          <w:p w14:paraId="6ED17D2A" w14:textId="6D286A4B" w:rsidR="004C7132" w:rsidRDefault="004C7132" w:rsidP="00044D42">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rPr>
            </w:pPr>
            <w:r>
              <w:rPr>
                <w:rFonts w:ascii="Arial" w:hAnsi="Arial"/>
              </w:rPr>
              <w:t>VI</w:t>
            </w:r>
          </w:p>
        </w:tc>
      </w:tr>
      <w:tr w:rsidR="0039411B" w:rsidRPr="004C7132" w14:paraId="20075950" w14:textId="77777777" w:rsidTr="003941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0" w:type="dxa"/>
          </w:tcPr>
          <w:p w14:paraId="3A57E373" w14:textId="4282BCE7" w:rsidR="004C7132" w:rsidRPr="0039411B" w:rsidRDefault="004C7132" w:rsidP="00044D42">
            <w:pPr>
              <w:spacing w:line="276" w:lineRule="auto"/>
              <w:jc w:val="both"/>
              <w:rPr>
                <w:rFonts w:ascii="Arial" w:hAnsi="Arial"/>
                <w:b w:val="0"/>
                <w:sz w:val="22"/>
                <w:szCs w:val="22"/>
              </w:rPr>
            </w:pPr>
            <w:r w:rsidRPr="0039411B">
              <w:rPr>
                <w:rFonts w:ascii="Arial" w:hAnsi="Arial"/>
                <w:b w:val="0"/>
                <w:sz w:val="22"/>
                <w:szCs w:val="22"/>
              </w:rPr>
              <w:lastRenderedPageBreak/>
              <w:t>Natürliche Hautfarbe</w:t>
            </w:r>
          </w:p>
        </w:tc>
        <w:tc>
          <w:tcPr>
            <w:tcW w:w="1012" w:type="dxa"/>
          </w:tcPr>
          <w:p w14:paraId="58BD7FBA" w14:textId="4CB12BC4" w:rsidR="004C7132" w:rsidRPr="0039411B" w:rsidRDefault="004C7132" w:rsidP="00044D4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sidRPr="0039411B">
              <w:rPr>
                <w:rFonts w:ascii="Arial" w:hAnsi="Arial"/>
                <w:sz w:val="22"/>
                <w:szCs w:val="22"/>
              </w:rPr>
              <w:t>sehr hell</w:t>
            </w:r>
          </w:p>
        </w:tc>
        <w:tc>
          <w:tcPr>
            <w:tcW w:w="1157" w:type="dxa"/>
          </w:tcPr>
          <w:p w14:paraId="78D9F150" w14:textId="576FC743" w:rsidR="004C7132" w:rsidRPr="0039411B" w:rsidRDefault="004C7132" w:rsidP="00044D4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sidRPr="0039411B">
              <w:rPr>
                <w:rFonts w:ascii="Arial" w:hAnsi="Arial"/>
                <w:sz w:val="22"/>
                <w:szCs w:val="22"/>
              </w:rPr>
              <w:t>hell</w:t>
            </w:r>
          </w:p>
        </w:tc>
        <w:tc>
          <w:tcPr>
            <w:tcW w:w="1320" w:type="dxa"/>
          </w:tcPr>
          <w:p w14:paraId="5C0B75BC" w14:textId="7DF368FE" w:rsidR="004C7132" w:rsidRPr="0039411B" w:rsidRDefault="004C7132" w:rsidP="00044D4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sidRPr="0039411B">
              <w:rPr>
                <w:rFonts w:ascii="Arial" w:hAnsi="Arial"/>
                <w:sz w:val="22"/>
                <w:szCs w:val="22"/>
              </w:rPr>
              <w:t>hell bis hellbraun</w:t>
            </w:r>
          </w:p>
        </w:tc>
        <w:tc>
          <w:tcPr>
            <w:tcW w:w="1261" w:type="dxa"/>
          </w:tcPr>
          <w:p w14:paraId="3EB087E3" w14:textId="3F07E80E" w:rsidR="004C7132" w:rsidRPr="0039411B" w:rsidRDefault="004C7132" w:rsidP="00044D4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sidRPr="0039411B">
              <w:rPr>
                <w:rFonts w:ascii="Arial" w:hAnsi="Arial"/>
                <w:sz w:val="22"/>
                <w:szCs w:val="22"/>
              </w:rPr>
              <w:t>hellbraun, oliv</w:t>
            </w:r>
          </w:p>
        </w:tc>
        <w:tc>
          <w:tcPr>
            <w:tcW w:w="1261" w:type="dxa"/>
          </w:tcPr>
          <w:p w14:paraId="1559DA19" w14:textId="0FC5CD47" w:rsidR="004C7132" w:rsidRPr="0039411B" w:rsidRDefault="004C7132" w:rsidP="00044D4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sidRPr="0039411B">
              <w:rPr>
                <w:rFonts w:ascii="Arial" w:hAnsi="Arial"/>
                <w:sz w:val="22"/>
                <w:szCs w:val="22"/>
              </w:rPr>
              <w:t>dunkelbraun</w:t>
            </w:r>
          </w:p>
        </w:tc>
        <w:tc>
          <w:tcPr>
            <w:tcW w:w="1261" w:type="dxa"/>
          </w:tcPr>
          <w:p w14:paraId="3310A143" w14:textId="47F1AF6D" w:rsidR="004C7132" w:rsidRPr="0039411B" w:rsidRDefault="004C7132" w:rsidP="00044D4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sidRPr="0039411B">
              <w:rPr>
                <w:rFonts w:ascii="Arial" w:hAnsi="Arial"/>
                <w:sz w:val="22"/>
                <w:szCs w:val="22"/>
              </w:rPr>
              <w:t>dunkelbraun bis schwarz</w:t>
            </w:r>
          </w:p>
        </w:tc>
      </w:tr>
      <w:tr w:rsidR="0039411B" w:rsidRPr="00A05558" w14:paraId="299171A9" w14:textId="77777777" w:rsidTr="0039411B">
        <w:tc>
          <w:tcPr>
            <w:cnfStyle w:val="001000000000" w:firstRow="0" w:lastRow="0" w:firstColumn="1" w:lastColumn="0" w:oddVBand="0" w:evenVBand="0" w:oddHBand="0" w:evenHBand="0" w:firstRowFirstColumn="0" w:firstRowLastColumn="0" w:lastRowFirstColumn="0" w:lastRowLastColumn="0"/>
            <w:tcW w:w="2010" w:type="dxa"/>
          </w:tcPr>
          <w:p w14:paraId="54FA20F6" w14:textId="1C49CF86" w:rsidR="004C7132" w:rsidRPr="0039411B" w:rsidRDefault="0039411B" w:rsidP="00044D42">
            <w:pPr>
              <w:spacing w:line="276" w:lineRule="auto"/>
              <w:jc w:val="both"/>
              <w:rPr>
                <w:rFonts w:ascii="Arial" w:hAnsi="Arial"/>
                <w:b w:val="0"/>
                <w:sz w:val="22"/>
                <w:szCs w:val="22"/>
              </w:rPr>
            </w:pPr>
            <w:r>
              <w:rPr>
                <w:rFonts w:ascii="Arial" w:hAnsi="Arial"/>
                <w:b w:val="0"/>
                <w:sz w:val="22"/>
                <w:szCs w:val="22"/>
              </w:rPr>
              <w:t>Sommersprossen/So</w:t>
            </w:r>
            <w:r w:rsidR="00A05558" w:rsidRPr="0039411B">
              <w:rPr>
                <w:rFonts w:ascii="Arial" w:hAnsi="Arial"/>
                <w:b w:val="0"/>
                <w:sz w:val="22"/>
                <w:szCs w:val="22"/>
              </w:rPr>
              <w:t>nnenbrandflecken</w:t>
            </w:r>
          </w:p>
        </w:tc>
        <w:tc>
          <w:tcPr>
            <w:tcW w:w="1012" w:type="dxa"/>
          </w:tcPr>
          <w:p w14:paraId="1ACF6179" w14:textId="6AD9FB4B" w:rsidR="004C7132" w:rsidRPr="0039411B" w:rsidRDefault="00A05558" w:rsidP="00044D4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39411B">
              <w:rPr>
                <w:rFonts w:ascii="Arial" w:hAnsi="Arial"/>
                <w:sz w:val="22"/>
                <w:szCs w:val="22"/>
              </w:rPr>
              <w:t>sehr häufig</w:t>
            </w:r>
          </w:p>
        </w:tc>
        <w:tc>
          <w:tcPr>
            <w:tcW w:w="1157" w:type="dxa"/>
          </w:tcPr>
          <w:p w14:paraId="20DB2C36" w14:textId="4B9C6BAD" w:rsidR="004C7132" w:rsidRPr="0039411B" w:rsidRDefault="00A05558" w:rsidP="00044D4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39411B">
              <w:rPr>
                <w:rFonts w:ascii="Arial" w:hAnsi="Arial"/>
                <w:sz w:val="22"/>
                <w:szCs w:val="22"/>
              </w:rPr>
              <w:t>häufig</w:t>
            </w:r>
          </w:p>
        </w:tc>
        <w:tc>
          <w:tcPr>
            <w:tcW w:w="1320" w:type="dxa"/>
          </w:tcPr>
          <w:p w14:paraId="133BD183" w14:textId="232DEDE4" w:rsidR="004C7132" w:rsidRPr="0039411B" w:rsidRDefault="00A05558" w:rsidP="00044D4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39411B">
              <w:rPr>
                <w:rFonts w:ascii="Arial" w:hAnsi="Arial"/>
                <w:sz w:val="22"/>
                <w:szCs w:val="22"/>
              </w:rPr>
              <w:t>selten</w:t>
            </w:r>
          </w:p>
        </w:tc>
        <w:tc>
          <w:tcPr>
            <w:tcW w:w="1261" w:type="dxa"/>
          </w:tcPr>
          <w:p w14:paraId="78E14369" w14:textId="2C5E50E5" w:rsidR="004C7132" w:rsidRPr="0039411B" w:rsidRDefault="00A05558" w:rsidP="00044D4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39411B">
              <w:rPr>
                <w:rFonts w:ascii="Arial" w:hAnsi="Arial"/>
                <w:sz w:val="22"/>
                <w:szCs w:val="22"/>
              </w:rPr>
              <w:t>keine</w:t>
            </w:r>
          </w:p>
        </w:tc>
        <w:tc>
          <w:tcPr>
            <w:tcW w:w="1261" w:type="dxa"/>
          </w:tcPr>
          <w:p w14:paraId="74E41584" w14:textId="1053ABD0" w:rsidR="004C7132" w:rsidRPr="0039411B" w:rsidRDefault="00A05558" w:rsidP="00044D4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39411B">
              <w:rPr>
                <w:rFonts w:ascii="Arial" w:hAnsi="Arial"/>
                <w:sz w:val="22"/>
                <w:szCs w:val="22"/>
              </w:rPr>
              <w:t>keine</w:t>
            </w:r>
          </w:p>
        </w:tc>
        <w:tc>
          <w:tcPr>
            <w:tcW w:w="1261" w:type="dxa"/>
          </w:tcPr>
          <w:p w14:paraId="6D1A6B40" w14:textId="53A5B7B9" w:rsidR="004C7132" w:rsidRPr="0039411B" w:rsidRDefault="00A05558" w:rsidP="00044D4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39411B">
              <w:rPr>
                <w:rFonts w:ascii="Arial" w:hAnsi="Arial"/>
                <w:sz w:val="22"/>
                <w:szCs w:val="22"/>
              </w:rPr>
              <w:t>keine</w:t>
            </w:r>
          </w:p>
        </w:tc>
      </w:tr>
      <w:tr w:rsidR="0039411B" w:rsidRPr="00A05558" w14:paraId="468F84D0" w14:textId="77777777" w:rsidTr="003941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0" w:type="dxa"/>
          </w:tcPr>
          <w:p w14:paraId="4BC21A2A" w14:textId="478A52D3" w:rsidR="004C7132" w:rsidRPr="0039411B" w:rsidRDefault="00A05558" w:rsidP="00044D42">
            <w:pPr>
              <w:spacing w:line="276" w:lineRule="auto"/>
              <w:jc w:val="both"/>
              <w:rPr>
                <w:rFonts w:ascii="Arial" w:hAnsi="Arial"/>
                <w:b w:val="0"/>
                <w:sz w:val="22"/>
                <w:szCs w:val="22"/>
              </w:rPr>
            </w:pPr>
            <w:r w:rsidRPr="0039411B">
              <w:rPr>
                <w:rFonts w:ascii="Arial" w:hAnsi="Arial"/>
                <w:b w:val="0"/>
                <w:sz w:val="22"/>
                <w:szCs w:val="22"/>
              </w:rPr>
              <w:t>Natürliche Haarfarbe</w:t>
            </w:r>
          </w:p>
        </w:tc>
        <w:tc>
          <w:tcPr>
            <w:tcW w:w="1012" w:type="dxa"/>
          </w:tcPr>
          <w:p w14:paraId="707298D1" w14:textId="5AE40F93" w:rsidR="004C7132" w:rsidRPr="0039411B" w:rsidRDefault="00A05558" w:rsidP="00044D4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sidRPr="0039411B">
              <w:rPr>
                <w:rFonts w:ascii="Arial" w:hAnsi="Arial"/>
                <w:sz w:val="22"/>
                <w:szCs w:val="22"/>
              </w:rPr>
              <w:t>rötlich bis rötlich-blond</w:t>
            </w:r>
          </w:p>
        </w:tc>
        <w:tc>
          <w:tcPr>
            <w:tcW w:w="1157" w:type="dxa"/>
          </w:tcPr>
          <w:p w14:paraId="775D88C7" w14:textId="10DD651D" w:rsidR="004C7132" w:rsidRPr="0039411B" w:rsidRDefault="00A05558" w:rsidP="00044D4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sidRPr="0039411B">
              <w:rPr>
                <w:rFonts w:ascii="Arial" w:hAnsi="Arial"/>
                <w:sz w:val="22"/>
                <w:szCs w:val="22"/>
              </w:rPr>
              <w:t>blond bis braun</w:t>
            </w:r>
          </w:p>
        </w:tc>
        <w:tc>
          <w:tcPr>
            <w:tcW w:w="1320" w:type="dxa"/>
          </w:tcPr>
          <w:p w14:paraId="5A552810" w14:textId="44FB1266" w:rsidR="004C7132" w:rsidRPr="0039411B" w:rsidRDefault="00006549" w:rsidP="00044D4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Pr>
                <w:rFonts w:ascii="Arial" w:hAnsi="Arial"/>
                <w:sz w:val="22"/>
                <w:szCs w:val="22"/>
              </w:rPr>
              <w:t>d</w:t>
            </w:r>
            <w:r w:rsidR="00A05558" w:rsidRPr="0039411B">
              <w:rPr>
                <w:rFonts w:ascii="Arial" w:hAnsi="Arial"/>
                <w:sz w:val="22"/>
                <w:szCs w:val="22"/>
              </w:rPr>
              <w:t>unkel</w:t>
            </w:r>
            <w:r>
              <w:rPr>
                <w:rFonts w:ascii="Arial" w:hAnsi="Arial"/>
                <w:sz w:val="22"/>
                <w:szCs w:val="22"/>
              </w:rPr>
              <w:t>-</w:t>
            </w:r>
            <w:r w:rsidR="00A05558" w:rsidRPr="0039411B">
              <w:rPr>
                <w:rFonts w:ascii="Arial" w:hAnsi="Arial"/>
                <w:sz w:val="22"/>
                <w:szCs w:val="22"/>
              </w:rPr>
              <w:t>blond bis braun</w:t>
            </w:r>
          </w:p>
        </w:tc>
        <w:tc>
          <w:tcPr>
            <w:tcW w:w="1261" w:type="dxa"/>
          </w:tcPr>
          <w:p w14:paraId="0FEECBB3" w14:textId="02171BAC" w:rsidR="004C7132" w:rsidRPr="0039411B" w:rsidRDefault="00006549" w:rsidP="00044D4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Pr>
                <w:rFonts w:ascii="Arial" w:hAnsi="Arial"/>
                <w:sz w:val="22"/>
                <w:szCs w:val="22"/>
              </w:rPr>
              <w:t>d</w:t>
            </w:r>
            <w:r w:rsidR="00A05558" w:rsidRPr="0039411B">
              <w:rPr>
                <w:rFonts w:ascii="Arial" w:hAnsi="Arial"/>
                <w:sz w:val="22"/>
                <w:szCs w:val="22"/>
              </w:rPr>
              <w:t>unkel</w:t>
            </w:r>
            <w:r>
              <w:rPr>
                <w:rFonts w:ascii="Arial" w:hAnsi="Arial"/>
                <w:sz w:val="22"/>
                <w:szCs w:val="22"/>
              </w:rPr>
              <w:t>-</w:t>
            </w:r>
            <w:r w:rsidR="00A05558" w:rsidRPr="0039411B">
              <w:rPr>
                <w:rFonts w:ascii="Arial" w:hAnsi="Arial"/>
                <w:sz w:val="22"/>
                <w:szCs w:val="22"/>
              </w:rPr>
              <w:t>braun</w:t>
            </w:r>
          </w:p>
        </w:tc>
        <w:tc>
          <w:tcPr>
            <w:tcW w:w="1261" w:type="dxa"/>
          </w:tcPr>
          <w:p w14:paraId="57095C5B" w14:textId="57B14BA0" w:rsidR="004C7132" w:rsidRPr="0039411B" w:rsidRDefault="00006549" w:rsidP="00044D4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Pr>
                <w:rFonts w:ascii="Arial" w:hAnsi="Arial"/>
                <w:sz w:val="22"/>
                <w:szCs w:val="22"/>
              </w:rPr>
              <w:t>d</w:t>
            </w:r>
            <w:r w:rsidR="00A05558" w:rsidRPr="0039411B">
              <w:rPr>
                <w:rFonts w:ascii="Arial" w:hAnsi="Arial"/>
                <w:sz w:val="22"/>
                <w:szCs w:val="22"/>
              </w:rPr>
              <w:t>unkel</w:t>
            </w:r>
            <w:r>
              <w:rPr>
                <w:rFonts w:ascii="Arial" w:hAnsi="Arial"/>
                <w:sz w:val="22"/>
                <w:szCs w:val="22"/>
              </w:rPr>
              <w:t>-</w:t>
            </w:r>
            <w:r w:rsidR="00A05558" w:rsidRPr="0039411B">
              <w:rPr>
                <w:rFonts w:ascii="Arial" w:hAnsi="Arial"/>
                <w:sz w:val="22"/>
                <w:szCs w:val="22"/>
              </w:rPr>
              <w:t>braun bis schwarz</w:t>
            </w:r>
          </w:p>
        </w:tc>
        <w:tc>
          <w:tcPr>
            <w:tcW w:w="1261" w:type="dxa"/>
          </w:tcPr>
          <w:p w14:paraId="1D28F018" w14:textId="3D13F928" w:rsidR="004C7132" w:rsidRPr="0039411B" w:rsidRDefault="00A05558" w:rsidP="00044D4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sidRPr="0039411B">
              <w:rPr>
                <w:rFonts w:ascii="Arial" w:hAnsi="Arial"/>
                <w:sz w:val="22"/>
                <w:szCs w:val="22"/>
              </w:rPr>
              <w:t>schwarz</w:t>
            </w:r>
          </w:p>
        </w:tc>
      </w:tr>
      <w:tr w:rsidR="0039411B" w:rsidRPr="00A05558" w14:paraId="744493E3" w14:textId="77777777" w:rsidTr="0039411B">
        <w:tc>
          <w:tcPr>
            <w:cnfStyle w:val="001000000000" w:firstRow="0" w:lastRow="0" w:firstColumn="1" w:lastColumn="0" w:oddVBand="0" w:evenVBand="0" w:oddHBand="0" w:evenHBand="0" w:firstRowFirstColumn="0" w:firstRowLastColumn="0" w:lastRowFirstColumn="0" w:lastRowLastColumn="0"/>
            <w:tcW w:w="2010" w:type="dxa"/>
          </w:tcPr>
          <w:p w14:paraId="0AE6ECF8" w14:textId="71B1B672" w:rsidR="004C7132" w:rsidRPr="0039411B" w:rsidRDefault="00A05558" w:rsidP="00044D42">
            <w:pPr>
              <w:spacing w:line="276" w:lineRule="auto"/>
              <w:jc w:val="both"/>
              <w:rPr>
                <w:rFonts w:ascii="Arial" w:hAnsi="Arial"/>
                <w:b w:val="0"/>
                <w:sz w:val="22"/>
                <w:szCs w:val="22"/>
              </w:rPr>
            </w:pPr>
            <w:r w:rsidRPr="0039411B">
              <w:rPr>
                <w:rFonts w:ascii="Arial" w:hAnsi="Arial"/>
                <w:b w:val="0"/>
                <w:sz w:val="22"/>
                <w:szCs w:val="22"/>
              </w:rPr>
              <w:t>Augenfarbe</w:t>
            </w:r>
          </w:p>
        </w:tc>
        <w:tc>
          <w:tcPr>
            <w:tcW w:w="1012" w:type="dxa"/>
          </w:tcPr>
          <w:p w14:paraId="581D8B8F" w14:textId="21C8074B" w:rsidR="004C7132" w:rsidRPr="0039411B" w:rsidRDefault="00006549" w:rsidP="00044D4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Pr>
                <w:rFonts w:ascii="Arial" w:hAnsi="Arial"/>
                <w:sz w:val="22"/>
                <w:szCs w:val="22"/>
              </w:rPr>
              <w:t>b</w:t>
            </w:r>
            <w:r w:rsidR="00A05558" w:rsidRPr="0039411B">
              <w:rPr>
                <w:rFonts w:ascii="Arial" w:hAnsi="Arial"/>
                <w:sz w:val="22"/>
                <w:szCs w:val="22"/>
              </w:rPr>
              <w:t>lau, grau</w:t>
            </w:r>
          </w:p>
        </w:tc>
        <w:tc>
          <w:tcPr>
            <w:tcW w:w="1157" w:type="dxa"/>
          </w:tcPr>
          <w:p w14:paraId="007FBFE6" w14:textId="1F9F8875" w:rsidR="004C7132" w:rsidRPr="0039411B" w:rsidRDefault="00A05558" w:rsidP="00044D4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39411B">
              <w:rPr>
                <w:rFonts w:ascii="Arial" w:hAnsi="Arial"/>
                <w:sz w:val="22"/>
                <w:szCs w:val="22"/>
              </w:rPr>
              <w:t>blau, grün, grau, braun</w:t>
            </w:r>
          </w:p>
        </w:tc>
        <w:tc>
          <w:tcPr>
            <w:tcW w:w="1320" w:type="dxa"/>
          </w:tcPr>
          <w:p w14:paraId="3FF190F4" w14:textId="6D1CBECE" w:rsidR="004C7132" w:rsidRPr="0039411B" w:rsidRDefault="00A05558" w:rsidP="00044D4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39411B">
              <w:rPr>
                <w:rFonts w:ascii="Arial" w:hAnsi="Arial"/>
                <w:sz w:val="22"/>
                <w:szCs w:val="22"/>
              </w:rPr>
              <w:t>grau, braun</w:t>
            </w:r>
          </w:p>
        </w:tc>
        <w:tc>
          <w:tcPr>
            <w:tcW w:w="1261" w:type="dxa"/>
          </w:tcPr>
          <w:p w14:paraId="3152B589" w14:textId="11CC907B" w:rsidR="004C7132" w:rsidRPr="0039411B" w:rsidRDefault="00A05558" w:rsidP="00044D4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39411B">
              <w:rPr>
                <w:rFonts w:ascii="Arial" w:hAnsi="Arial"/>
                <w:sz w:val="22"/>
                <w:szCs w:val="22"/>
              </w:rPr>
              <w:t>braun bis dunkel</w:t>
            </w:r>
            <w:r w:rsidR="00006549">
              <w:rPr>
                <w:rFonts w:ascii="Arial" w:hAnsi="Arial"/>
                <w:sz w:val="22"/>
                <w:szCs w:val="22"/>
              </w:rPr>
              <w:t>-</w:t>
            </w:r>
            <w:r w:rsidRPr="0039411B">
              <w:rPr>
                <w:rFonts w:ascii="Arial" w:hAnsi="Arial"/>
                <w:sz w:val="22"/>
                <w:szCs w:val="22"/>
              </w:rPr>
              <w:t>braun</w:t>
            </w:r>
          </w:p>
        </w:tc>
        <w:tc>
          <w:tcPr>
            <w:tcW w:w="1261" w:type="dxa"/>
          </w:tcPr>
          <w:p w14:paraId="4D0B265B" w14:textId="46779424" w:rsidR="004C7132" w:rsidRPr="0039411B" w:rsidRDefault="00006549" w:rsidP="00044D4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Pr>
                <w:rFonts w:ascii="Arial" w:hAnsi="Arial"/>
                <w:sz w:val="22"/>
                <w:szCs w:val="22"/>
              </w:rPr>
              <w:t>d</w:t>
            </w:r>
            <w:r w:rsidR="00A05558" w:rsidRPr="0039411B">
              <w:rPr>
                <w:rFonts w:ascii="Arial" w:hAnsi="Arial"/>
                <w:sz w:val="22"/>
                <w:szCs w:val="22"/>
              </w:rPr>
              <w:t>unkel</w:t>
            </w:r>
            <w:r>
              <w:rPr>
                <w:rFonts w:ascii="Arial" w:hAnsi="Arial"/>
                <w:sz w:val="22"/>
                <w:szCs w:val="22"/>
              </w:rPr>
              <w:t>-</w:t>
            </w:r>
            <w:r w:rsidR="00A05558" w:rsidRPr="0039411B">
              <w:rPr>
                <w:rFonts w:ascii="Arial" w:hAnsi="Arial"/>
                <w:sz w:val="22"/>
                <w:szCs w:val="22"/>
              </w:rPr>
              <w:t>braun</w:t>
            </w:r>
          </w:p>
        </w:tc>
        <w:tc>
          <w:tcPr>
            <w:tcW w:w="1261" w:type="dxa"/>
          </w:tcPr>
          <w:p w14:paraId="3FCB45E1" w14:textId="66BFB74D" w:rsidR="004C7132" w:rsidRPr="0039411B" w:rsidRDefault="00006549" w:rsidP="00044D4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Pr>
                <w:rFonts w:ascii="Arial" w:hAnsi="Arial"/>
                <w:sz w:val="22"/>
                <w:szCs w:val="22"/>
              </w:rPr>
              <w:t>d</w:t>
            </w:r>
            <w:r w:rsidR="00A05558" w:rsidRPr="0039411B">
              <w:rPr>
                <w:rFonts w:ascii="Arial" w:hAnsi="Arial"/>
                <w:sz w:val="22"/>
                <w:szCs w:val="22"/>
              </w:rPr>
              <w:t>unkel</w:t>
            </w:r>
            <w:r>
              <w:rPr>
                <w:rFonts w:ascii="Arial" w:hAnsi="Arial"/>
                <w:sz w:val="22"/>
                <w:szCs w:val="22"/>
              </w:rPr>
              <w:t>-</w:t>
            </w:r>
            <w:r w:rsidR="00A05558" w:rsidRPr="0039411B">
              <w:rPr>
                <w:rFonts w:ascii="Arial" w:hAnsi="Arial"/>
                <w:sz w:val="22"/>
                <w:szCs w:val="22"/>
              </w:rPr>
              <w:t>braun</w:t>
            </w:r>
          </w:p>
        </w:tc>
      </w:tr>
      <w:tr w:rsidR="0039411B" w:rsidRPr="00A05558" w14:paraId="0CD2FFE6" w14:textId="77777777" w:rsidTr="003941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0" w:type="dxa"/>
          </w:tcPr>
          <w:p w14:paraId="2020FE69" w14:textId="08B459C7" w:rsidR="00A05558" w:rsidRPr="0039411B" w:rsidRDefault="004214E0" w:rsidP="00044D42">
            <w:pPr>
              <w:spacing w:line="276" w:lineRule="auto"/>
              <w:jc w:val="both"/>
              <w:rPr>
                <w:rFonts w:ascii="Arial" w:hAnsi="Arial"/>
                <w:sz w:val="22"/>
                <w:szCs w:val="22"/>
              </w:rPr>
            </w:pPr>
            <w:r w:rsidRPr="0039411B">
              <w:rPr>
                <w:rFonts w:ascii="Arial" w:hAnsi="Arial"/>
                <w:sz w:val="22"/>
                <w:szCs w:val="22"/>
              </w:rPr>
              <w:t>Sonnenre</w:t>
            </w:r>
            <w:r>
              <w:rPr>
                <w:rFonts w:ascii="Arial" w:hAnsi="Arial"/>
                <w:sz w:val="22"/>
                <w:szCs w:val="22"/>
              </w:rPr>
              <w:t>a</w:t>
            </w:r>
            <w:r w:rsidRPr="0039411B">
              <w:rPr>
                <w:rFonts w:ascii="Arial" w:hAnsi="Arial"/>
                <w:sz w:val="22"/>
                <w:szCs w:val="22"/>
              </w:rPr>
              <w:t>kation</w:t>
            </w:r>
          </w:p>
        </w:tc>
        <w:tc>
          <w:tcPr>
            <w:tcW w:w="1012" w:type="dxa"/>
          </w:tcPr>
          <w:p w14:paraId="2CCCBB04" w14:textId="3666CD25" w:rsidR="00A05558" w:rsidRDefault="00A05558" w:rsidP="00044D4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p>
        </w:tc>
        <w:tc>
          <w:tcPr>
            <w:tcW w:w="1157" w:type="dxa"/>
          </w:tcPr>
          <w:p w14:paraId="452F5D1F" w14:textId="77777777" w:rsidR="00A05558" w:rsidRDefault="00A05558" w:rsidP="00044D4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p>
        </w:tc>
        <w:tc>
          <w:tcPr>
            <w:tcW w:w="1320" w:type="dxa"/>
          </w:tcPr>
          <w:p w14:paraId="451451D7" w14:textId="77777777" w:rsidR="00A05558" w:rsidRDefault="00A05558" w:rsidP="00044D4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p>
        </w:tc>
        <w:tc>
          <w:tcPr>
            <w:tcW w:w="1261" w:type="dxa"/>
          </w:tcPr>
          <w:p w14:paraId="37948E4E" w14:textId="77777777" w:rsidR="00A05558" w:rsidRDefault="00A05558" w:rsidP="00044D4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p>
        </w:tc>
        <w:tc>
          <w:tcPr>
            <w:tcW w:w="1261" w:type="dxa"/>
          </w:tcPr>
          <w:p w14:paraId="59242113" w14:textId="77777777" w:rsidR="00A05558" w:rsidRDefault="00A05558" w:rsidP="00044D4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p>
        </w:tc>
        <w:tc>
          <w:tcPr>
            <w:tcW w:w="1261" w:type="dxa"/>
          </w:tcPr>
          <w:p w14:paraId="5A15AE77" w14:textId="77777777" w:rsidR="00A05558" w:rsidRDefault="00A05558" w:rsidP="00044D4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p>
        </w:tc>
      </w:tr>
      <w:tr w:rsidR="0039411B" w:rsidRPr="0039411B" w14:paraId="36DF7371" w14:textId="77777777" w:rsidTr="0039411B">
        <w:tc>
          <w:tcPr>
            <w:cnfStyle w:val="001000000000" w:firstRow="0" w:lastRow="0" w:firstColumn="1" w:lastColumn="0" w:oddVBand="0" w:evenVBand="0" w:oddHBand="0" w:evenHBand="0" w:firstRowFirstColumn="0" w:firstRowLastColumn="0" w:lastRowFirstColumn="0" w:lastRowLastColumn="0"/>
            <w:tcW w:w="2010" w:type="dxa"/>
          </w:tcPr>
          <w:p w14:paraId="05EA72CA" w14:textId="4BB81CC5" w:rsidR="004C7132" w:rsidRPr="0039411B" w:rsidRDefault="00A05558" w:rsidP="00044D42">
            <w:pPr>
              <w:spacing w:line="276" w:lineRule="auto"/>
              <w:jc w:val="both"/>
              <w:rPr>
                <w:rFonts w:ascii="Arial" w:hAnsi="Arial"/>
                <w:sz w:val="22"/>
                <w:szCs w:val="22"/>
              </w:rPr>
            </w:pPr>
            <w:r w:rsidRPr="0039411B">
              <w:rPr>
                <w:rFonts w:ascii="Arial" w:hAnsi="Arial"/>
                <w:sz w:val="22"/>
                <w:szCs w:val="22"/>
              </w:rPr>
              <w:t>Sonnenbrand</w:t>
            </w:r>
          </w:p>
        </w:tc>
        <w:tc>
          <w:tcPr>
            <w:tcW w:w="1012" w:type="dxa"/>
          </w:tcPr>
          <w:p w14:paraId="0E4264A9" w14:textId="03E9EEB0" w:rsidR="004C7132" w:rsidRPr="0039411B" w:rsidRDefault="00006549" w:rsidP="00044D4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Pr>
                <w:rFonts w:ascii="Arial" w:hAnsi="Arial"/>
                <w:sz w:val="22"/>
                <w:szCs w:val="22"/>
              </w:rPr>
              <w:t>i</w:t>
            </w:r>
            <w:r w:rsidR="00A05558" w:rsidRPr="0039411B">
              <w:rPr>
                <w:rFonts w:ascii="Arial" w:hAnsi="Arial"/>
                <w:sz w:val="22"/>
                <w:szCs w:val="22"/>
              </w:rPr>
              <w:t>mmer und sch</w:t>
            </w:r>
            <w:r>
              <w:rPr>
                <w:rFonts w:ascii="Arial" w:hAnsi="Arial"/>
                <w:sz w:val="22"/>
                <w:szCs w:val="22"/>
              </w:rPr>
              <w:t>m</w:t>
            </w:r>
            <w:r w:rsidR="00A05558" w:rsidRPr="0039411B">
              <w:rPr>
                <w:rFonts w:ascii="Arial" w:hAnsi="Arial"/>
                <w:sz w:val="22"/>
                <w:szCs w:val="22"/>
              </w:rPr>
              <w:t>erzhaft</w:t>
            </w:r>
          </w:p>
        </w:tc>
        <w:tc>
          <w:tcPr>
            <w:tcW w:w="1157" w:type="dxa"/>
          </w:tcPr>
          <w:p w14:paraId="241C607E" w14:textId="31A549E5" w:rsidR="004C7132" w:rsidRPr="0039411B" w:rsidRDefault="00006549" w:rsidP="00044D4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Pr>
                <w:rFonts w:ascii="Arial" w:hAnsi="Arial"/>
                <w:sz w:val="22"/>
                <w:szCs w:val="22"/>
              </w:rPr>
              <w:t>f</w:t>
            </w:r>
            <w:r w:rsidR="00A05558" w:rsidRPr="0039411B">
              <w:rPr>
                <w:rFonts w:ascii="Arial" w:hAnsi="Arial"/>
                <w:sz w:val="22"/>
                <w:szCs w:val="22"/>
              </w:rPr>
              <w:t>ast immer, schmerzhaft</w:t>
            </w:r>
          </w:p>
        </w:tc>
        <w:tc>
          <w:tcPr>
            <w:tcW w:w="1320" w:type="dxa"/>
          </w:tcPr>
          <w:p w14:paraId="6FAE84FB" w14:textId="70895F41" w:rsidR="004C7132" w:rsidRPr="0039411B" w:rsidRDefault="00006549" w:rsidP="00044D4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Pr>
                <w:rFonts w:ascii="Arial" w:hAnsi="Arial"/>
                <w:sz w:val="22"/>
                <w:szCs w:val="22"/>
              </w:rPr>
              <w:t>s</w:t>
            </w:r>
            <w:r w:rsidR="00A05558" w:rsidRPr="0039411B">
              <w:rPr>
                <w:rFonts w:ascii="Arial" w:hAnsi="Arial"/>
                <w:sz w:val="22"/>
                <w:szCs w:val="22"/>
              </w:rPr>
              <w:t>elten bis mäßig</w:t>
            </w:r>
          </w:p>
        </w:tc>
        <w:tc>
          <w:tcPr>
            <w:tcW w:w="1261" w:type="dxa"/>
          </w:tcPr>
          <w:p w14:paraId="15308EC4" w14:textId="773F88EA" w:rsidR="004C7132" w:rsidRPr="0039411B" w:rsidRDefault="00006549" w:rsidP="00044D4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Pr>
                <w:rFonts w:ascii="Arial" w:hAnsi="Arial"/>
                <w:sz w:val="22"/>
                <w:szCs w:val="22"/>
              </w:rPr>
              <w:t>s</w:t>
            </w:r>
            <w:r w:rsidR="00A05558" w:rsidRPr="0039411B">
              <w:rPr>
                <w:rFonts w:ascii="Arial" w:hAnsi="Arial"/>
                <w:sz w:val="22"/>
                <w:szCs w:val="22"/>
              </w:rPr>
              <w:t>elten</w:t>
            </w:r>
          </w:p>
        </w:tc>
        <w:tc>
          <w:tcPr>
            <w:tcW w:w="1261" w:type="dxa"/>
          </w:tcPr>
          <w:p w14:paraId="02E1B92B" w14:textId="1EF8F754" w:rsidR="004C7132" w:rsidRPr="0039411B" w:rsidRDefault="00006549" w:rsidP="00044D4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Pr>
                <w:rFonts w:ascii="Arial" w:hAnsi="Arial"/>
                <w:sz w:val="22"/>
                <w:szCs w:val="22"/>
              </w:rPr>
              <w:t>s</w:t>
            </w:r>
            <w:r w:rsidR="00A05558" w:rsidRPr="0039411B">
              <w:rPr>
                <w:rFonts w:ascii="Arial" w:hAnsi="Arial"/>
                <w:sz w:val="22"/>
                <w:szCs w:val="22"/>
              </w:rPr>
              <w:t>ehr selten</w:t>
            </w:r>
          </w:p>
        </w:tc>
        <w:tc>
          <w:tcPr>
            <w:tcW w:w="1261" w:type="dxa"/>
          </w:tcPr>
          <w:p w14:paraId="2889506F" w14:textId="1F99D897" w:rsidR="004C7132" w:rsidRPr="0039411B" w:rsidRDefault="00006549" w:rsidP="00044D4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Pr>
                <w:rFonts w:ascii="Arial" w:hAnsi="Arial"/>
                <w:sz w:val="22"/>
                <w:szCs w:val="22"/>
              </w:rPr>
              <w:t>e</w:t>
            </w:r>
            <w:r w:rsidR="00A05558" w:rsidRPr="0039411B">
              <w:rPr>
                <w:rFonts w:ascii="Arial" w:hAnsi="Arial"/>
                <w:sz w:val="22"/>
                <w:szCs w:val="22"/>
              </w:rPr>
              <w:t>xtrem selten</w:t>
            </w:r>
          </w:p>
        </w:tc>
      </w:tr>
      <w:tr w:rsidR="0039411B" w:rsidRPr="0039411B" w14:paraId="7B8B80F2" w14:textId="77777777" w:rsidTr="003941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0" w:type="dxa"/>
          </w:tcPr>
          <w:p w14:paraId="355C7A9C" w14:textId="4A359714" w:rsidR="004C7132" w:rsidRPr="0039411B" w:rsidRDefault="0039411B" w:rsidP="00044D42">
            <w:pPr>
              <w:spacing w:line="276" w:lineRule="auto"/>
              <w:jc w:val="both"/>
              <w:rPr>
                <w:rFonts w:ascii="Arial" w:hAnsi="Arial"/>
                <w:b w:val="0"/>
                <w:sz w:val="22"/>
                <w:szCs w:val="22"/>
              </w:rPr>
            </w:pPr>
            <w:r w:rsidRPr="0039411B">
              <w:rPr>
                <w:rFonts w:ascii="Arial" w:hAnsi="Arial"/>
                <w:b w:val="0"/>
                <w:sz w:val="22"/>
                <w:szCs w:val="22"/>
              </w:rPr>
              <w:t>Eigenschutz</w:t>
            </w:r>
          </w:p>
        </w:tc>
        <w:tc>
          <w:tcPr>
            <w:tcW w:w="1012" w:type="dxa"/>
          </w:tcPr>
          <w:p w14:paraId="37D8943B" w14:textId="04F1C2B8" w:rsidR="004C7132" w:rsidRPr="0039411B" w:rsidRDefault="0039411B" w:rsidP="00044D4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sidRPr="0039411B">
              <w:rPr>
                <w:rFonts w:ascii="Arial" w:hAnsi="Arial"/>
                <w:sz w:val="22"/>
                <w:szCs w:val="22"/>
              </w:rPr>
              <w:t>5-10 Min.</w:t>
            </w:r>
          </w:p>
        </w:tc>
        <w:tc>
          <w:tcPr>
            <w:tcW w:w="1157" w:type="dxa"/>
          </w:tcPr>
          <w:p w14:paraId="0ABB61F2" w14:textId="49C7C843" w:rsidR="004C7132" w:rsidRPr="0039411B" w:rsidRDefault="0039411B" w:rsidP="00044D4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sidRPr="0039411B">
              <w:rPr>
                <w:rFonts w:ascii="Arial" w:hAnsi="Arial"/>
                <w:sz w:val="22"/>
                <w:szCs w:val="22"/>
              </w:rPr>
              <w:t>10-20 Min.</w:t>
            </w:r>
          </w:p>
        </w:tc>
        <w:tc>
          <w:tcPr>
            <w:tcW w:w="1320" w:type="dxa"/>
          </w:tcPr>
          <w:p w14:paraId="51A93178" w14:textId="105A8DC1" w:rsidR="004C7132" w:rsidRPr="0039411B" w:rsidRDefault="0039411B" w:rsidP="00044D4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sidRPr="0039411B">
              <w:rPr>
                <w:rFonts w:ascii="Arial" w:hAnsi="Arial"/>
                <w:sz w:val="22"/>
                <w:szCs w:val="22"/>
              </w:rPr>
              <w:t>15-25 Min.</w:t>
            </w:r>
          </w:p>
        </w:tc>
        <w:tc>
          <w:tcPr>
            <w:tcW w:w="1261" w:type="dxa"/>
          </w:tcPr>
          <w:p w14:paraId="62DB970B" w14:textId="7CFCEFAA" w:rsidR="004C7132" w:rsidRPr="0039411B" w:rsidRDefault="0039411B" w:rsidP="00044D4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sidRPr="0039411B">
              <w:rPr>
                <w:rFonts w:ascii="Arial" w:hAnsi="Arial"/>
                <w:sz w:val="22"/>
                <w:szCs w:val="22"/>
              </w:rPr>
              <w:t>20-30 Min.</w:t>
            </w:r>
          </w:p>
        </w:tc>
        <w:tc>
          <w:tcPr>
            <w:tcW w:w="1261" w:type="dxa"/>
          </w:tcPr>
          <w:p w14:paraId="1D3E61A8" w14:textId="4255D468" w:rsidR="004C7132" w:rsidRPr="0039411B" w:rsidRDefault="0039411B" w:rsidP="00044D4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sidRPr="0039411B">
              <w:rPr>
                <w:rFonts w:ascii="Arial" w:hAnsi="Arial"/>
                <w:sz w:val="22"/>
                <w:szCs w:val="22"/>
              </w:rPr>
              <w:t>Über 30 Min.</w:t>
            </w:r>
          </w:p>
        </w:tc>
        <w:tc>
          <w:tcPr>
            <w:tcW w:w="1261" w:type="dxa"/>
          </w:tcPr>
          <w:p w14:paraId="7D3529A4" w14:textId="3B3E3D4D" w:rsidR="004C7132" w:rsidRPr="0039411B" w:rsidRDefault="0039411B" w:rsidP="00044D4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sidRPr="0039411B">
              <w:rPr>
                <w:rFonts w:ascii="Arial" w:hAnsi="Arial"/>
                <w:sz w:val="22"/>
                <w:szCs w:val="22"/>
              </w:rPr>
              <w:t>Über 30 Min.</w:t>
            </w:r>
          </w:p>
        </w:tc>
      </w:tr>
      <w:tr w:rsidR="0039411B" w:rsidRPr="0039411B" w14:paraId="5ED51252" w14:textId="77777777" w:rsidTr="0039411B">
        <w:tc>
          <w:tcPr>
            <w:cnfStyle w:val="001000000000" w:firstRow="0" w:lastRow="0" w:firstColumn="1" w:lastColumn="0" w:oddVBand="0" w:evenVBand="0" w:oddHBand="0" w:evenHBand="0" w:firstRowFirstColumn="0" w:firstRowLastColumn="0" w:lastRowFirstColumn="0" w:lastRowLastColumn="0"/>
            <w:tcW w:w="2010" w:type="dxa"/>
          </w:tcPr>
          <w:p w14:paraId="31DEB43C" w14:textId="5DC284B8" w:rsidR="004C7132" w:rsidRPr="0039411B" w:rsidRDefault="0039411B" w:rsidP="00044D42">
            <w:pPr>
              <w:spacing w:line="276" w:lineRule="auto"/>
              <w:jc w:val="both"/>
              <w:rPr>
                <w:rFonts w:ascii="Arial" w:hAnsi="Arial"/>
                <w:b w:val="0"/>
                <w:sz w:val="22"/>
                <w:szCs w:val="22"/>
              </w:rPr>
            </w:pPr>
            <w:r w:rsidRPr="0039411B">
              <w:rPr>
                <w:rFonts w:ascii="Arial" w:hAnsi="Arial"/>
                <w:b w:val="0"/>
                <w:sz w:val="22"/>
                <w:szCs w:val="22"/>
              </w:rPr>
              <w:t>Bräunung</w:t>
            </w:r>
          </w:p>
        </w:tc>
        <w:tc>
          <w:tcPr>
            <w:tcW w:w="1012" w:type="dxa"/>
          </w:tcPr>
          <w:p w14:paraId="47B52010" w14:textId="4521E297" w:rsidR="004C7132" w:rsidRPr="0039411B" w:rsidRDefault="00006549" w:rsidP="00044D4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Pr>
                <w:rFonts w:ascii="Arial" w:hAnsi="Arial"/>
                <w:sz w:val="22"/>
                <w:szCs w:val="22"/>
              </w:rPr>
              <w:t>k</w:t>
            </w:r>
            <w:r w:rsidR="0039411B" w:rsidRPr="0039411B">
              <w:rPr>
                <w:rFonts w:ascii="Arial" w:hAnsi="Arial"/>
                <w:sz w:val="22"/>
                <w:szCs w:val="22"/>
              </w:rPr>
              <w:t>eine</w:t>
            </w:r>
          </w:p>
        </w:tc>
        <w:tc>
          <w:tcPr>
            <w:tcW w:w="1157" w:type="dxa"/>
          </w:tcPr>
          <w:p w14:paraId="0A9BDD7B" w14:textId="23704FCA" w:rsidR="004C7132" w:rsidRPr="0039411B" w:rsidRDefault="00006549" w:rsidP="00044D4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Pr>
                <w:rFonts w:ascii="Arial" w:hAnsi="Arial"/>
                <w:sz w:val="22"/>
                <w:szCs w:val="22"/>
              </w:rPr>
              <w:t>k</w:t>
            </w:r>
            <w:r w:rsidR="0039411B" w:rsidRPr="0039411B">
              <w:rPr>
                <w:rFonts w:ascii="Arial" w:hAnsi="Arial"/>
                <w:sz w:val="22"/>
                <w:szCs w:val="22"/>
              </w:rPr>
              <w:t>aum bis mäßig</w:t>
            </w:r>
          </w:p>
        </w:tc>
        <w:tc>
          <w:tcPr>
            <w:tcW w:w="1320" w:type="dxa"/>
          </w:tcPr>
          <w:p w14:paraId="188C7F18" w14:textId="0A069DFE" w:rsidR="004C7132" w:rsidRPr="0039411B" w:rsidRDefault="00006549" w:rsidP="00044D4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Pr>
                <w:rFonts w:ascii="Arial" w:hAnsi="Arial"/>
                <w:sz w:val="22"/>
                <w:szCs w:val="22"/>
              </w:rPr>
              <w:t>f</w:t>
            </w:r>
            <w:r w:rsidR="0039411B" w:rsidRPr="0039411B">
              <w:rPr>
                <w:rFonts w:ascii="Arial" w:hAnsi="Arial"/>
                <w:sz w:val="22"/>
                <w:szCs w:val="22"/>
              </w:rPr>
              <w:t>ortschreitend</w:t>
            </w:r>
          </w:p>
        </w:tc>
        <w:tc>
          <w:tcPr>
            <w:tcW w:w="1261" w:type="dxa"/>
          </w:tcPr>
          <w:p w14:paraId="60F4732A" w14:textId="6AAF2786" w:rsidR="004C7132" w:rsidRPr="0039411B" w:rsidRDefault="00006549" w:rsidP="00044D4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Pr>
                <w:rFonts w:ascii="Arial" w:hAnsi="Arial"/>
                <w:sz w:val="22"/>
                <w:szCs w:val="22"/>
              </w:rPr>
              <w:t>s</w:t>
            </w:r>
            <w:r w:rsidR="0039411B" w:rsidRPr="0039411B">
              <w:rPr>
                <w:rFonts w:ascii="Arial" w:hAnsi="Arial"/>
                <w:sz w:val="22"/>
                <w:szCs w:val="22"/>
              </w:rPr>
              <w:t>chnell und tief</w:t>
            </w:r>
          </w:p>
        </w:tc>
        <w:tc>
          <w:tcPr>
            <w:tcW w:w="1261" w:type="dxa"/>
          </w:tcPr>
          <w:p w14:paraId="1CF2FBFC" w14:textId="06570E02" w:rsidR="004C7132" w:rsidRPr="0039411B" w:rsidRDefault="00006549" w:rsidP="00044D4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Pr>
                <w:rFonts w:ascii="Arial" w:hAnsi="Arial"/>
                <w:sz w:val="22"/>
                <w:szCs w:val="22"/>
              </w:rPr>
              <w:t>k</w:t>
            </w:r>
            <w:r w:rsidR="0039411B" w:rsidRPr="0039411B">
              <w:rPr>
                <w:rFonts w:ascii="Arial" w:hAnsi="Arial"/>
                <w:sz w:val="22"/>
                <w:szCs w:val="22"/>
              </w:rPr>
              <w:t>eine</w:t>
            </w:r>
          </w:p>
        </w:tc>
        <w:tc>
          <w:tcPr>
            <w:tcW w:w="1261" w:type="dxa"/>
          </w:tcPr>
          <w:p w14:paraId="30B9B157" w14:textId="06657454" w:rsidR="004C7132" w:rsidRPr="0039411B" w:rsidRDefault="0039411B" w:rsidP="00044D4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39411B">
              <w:rPr>
                <w:rFonts w:ascii="Arial" w:hAnsi="Arial"/>
                <w:sz w:val="22"/>
                <w:szCs w:val="22"/>
              </w:rPr>
              <w:t>keine</w:t>
            </w:r>
          </w:p>
        </w:tc>
      </w:tr>
      <w:tr w:rsidR="0039411B" w:rsidRPr="0039411B" w14:paraId="56BF9164" w14:textId="77777777" w:rsidTr="003941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0" w:type="dxa"/>
          </w:tcPr>
          <w:p w14:paraId="2F2CCB14" w14:textId="7D2C5E8D" w:rsidR="004C7132" w:rsidRPr="0039411B" w:rsidRDefault="0039411B" w:rsidP="00044D42">
            <w:pPr>
              <w:spacing w:line="276" w:lineRule="auto"/>
              <w:jc w:val="both"/>
              <w:rPr>
                <w:rFonts w:ascii="Arial" w:hAnsi="Arial"/>
                <w:b w:val="0"/>
                <w:sz w:val="22"/>
                <w:szCs w:val="22"/>
              </w:rPr>
            </w:pPr>
            <w:r w:rsidRPr="0039411B">
              <w:rPr>
                <w:rFonts w:ascii="Arial" w:hAnsi="Arial"/>
                <w:b w:val="0"/>
                <w:sz w:val="22"/>
                <w:szCs w:val="22"/>
              </w:rPr>
              <w:t>Empfohlener LSF</w:t>
            </w:r>
          </w:p>
        </w:tc>
        <w:tc>
          <w:tcPr>
            <w:tcW w:w="1012" w:type="dxa"/>
          </w:tcPr>
          <w:p w14:paraId="64777855" w14:textId="2A345597" w:rsidR="004C7132" w:rsidRPr="0039411B" w:rsidRDefault="0039411B" w:rsidP="00044D4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sidRPr="0039411B">
              <w:rPr>
                <w:rFonts w:ascii="Arial" w:hAnsi="Arial"/>
                <w:sz w:val="22"/>
                <w:szCs w:val="22"/>
              </w:rPr>
              <w:t>30-50</w:t>
            </w:r>
          </w:p>
        </w:tc>
        <w:tc>
          <w:tcPr>
            <w:tcW w:w="1157" w:type="dxa"/>
          </w:tcPr>
          <w:p w14:paraId="56504C50" w14:textId="34C439D4" w:rsidR="004C7132" w:rsidRPr="0039411B" w:rsidRDefault="0039411B" w:rsidP="00044D4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sidRPr="0039411B">
              <w:rPr>
                <w:rFonts w:ascii="Arial" w:hAnsi="Arial"/>
                <w:sz w:val="22"/>
                <w:szCs w:val="22"/>
              </w:rPr>
              <w:t>15-40</w:t>
            </w:r>
          </w:p>
        </w:tc>
        <w:tc>
          <w:tcPr>
            <w:tcW w:w="1320" w:type="dxa"/>
          </w:tcPr>
          <w:p w14:paraId="618C876E" w14:textId="66EB47CA" w:rsidR="004C7132" w:rsidRPr="0039411B" w:rsidRDefault="0039411B" w:rsidP="00044D4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sidRPr="0039411B">
              <w:rPr>
                <w:rFonts w:ascii="Arial" w:hAnsi="Arial"/>
                <w:sz w:val="22"/>
                <w:szCs w:val="22"/>
              </w:rPr>
              <w:t>12-30</w:t>
            </w:r>
          </w:p>
        </w:tc>
        <w:tc>
          <w:tcPr>
            <w:tcW w:w="1261" w:type="dxa"/>
          </w:tcPr>
          <w:p w14:paraId="67347627" w14:textId="6B2DFF0D" w:rsidR="004C7132" w:rsidRPr="0039411B" w:rsidRDefault="0039411B" w:rsidP="00044D4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sidRPr="0039411B">
              <w:rPr>
                <w:rFonts w:ascii="Arial" w:hAnsi="Arial"/>
                <w:sz w:val="22"/>
                <w:szCs w:val="22"/>
              </w:rPr>
              <w:t>8-15</w:t>
            </w:r>
          </w:p>
        </w:tc>
        <w:tc>
          <w:tcPr>
            <w:tcW w:w="1261" w:type="dxa"/>
          </w:tcPr>
          <w:p w14:paraId="62A5A549" w14:textId="085756D2" w:rsidR="004C7132" w:rsidRPr="0039411B" w:rsidRDefault="0039411B" w:rsidP="00044D4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sidRPr="0039411B">
              <w:rPr>
                <w:rFonts w:ascii="Arial" w:hAnsi="Arial"/>
                <w:sz w:val="22"/>
                <w:szCs w:val="22"/>
              </w:rPr>
              <w:t>Nach Bedarf</w:t>
            </w:r>
          </w:p>
        </w:tc>
        <w:tc>
          <w:tcPr>
            <w:tcW w:w="1261" w:type="dxa"/>
          </w:tcPr>
          <w:p w14:paraId="07C2C9AC" w14:textId="19AA5B45" w:rsidR="004C7132" w:rsidRPr="0039411B" w:rsidRDefault="0039411B" w:rsidP="00044D4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sidRPr="0039411B">
              <w:rPr>
                <w:rFonts w:ascii="Arial" w:hAnsi="Arial"/>
                <w:sz w:val="22"/>
                <w:szCs w:val="22"/>
              </w:rPr>
              <w:t>Nach Bedarf</w:t>
            </w:r>
          </w:p>
        </w:tc>
      </w:tr>
      <w:tr w:rsidR="0039411B" w:rsidRPr="0039411B" w14:paraId="69B04FAD" w14:textId="77777777" w:rsidTr="0039411B">
        <w:tc>
          <w:tcPr>
            <w:cnfStyle w:val="001000000000" w:firstRow="0" w:lastRow="0" w:firstColumn="1" w:lastColumn="0" w:oddVBand="0" w:evenVBand="0" w:oddHBand="0" w:evenHBand="0" w:firstRowFirstColumn="0" w:firstRowLastColumn="0" w:lastRowFirstColumn="0" w:lastRowLastColumn="0"/>
            <w:tcW w:w="2010" w:type="dxa"/>
          </w:tcPr>
          <w:p w14:paraId="0E39953A" w14:textId="377C1EE6" w:rsidR="004C7132" w:rsidRPr="0039411B" w:rsidRDefault="0039411B" w:rsidP="00044D42">
            <w:pPr>
              <w:spacing w:line="276" w:lineRule="auto"/>
              <w:jc w:val="both"/>
              <w:rPr>
                <w:rFonts w:ascii="Arial" w:hAnsi="Arial"/>
                <w:b w:val="0"/>
                <w:sz w:val="22"/>
                <w:szCs w:val="22"/>
              </w:rPr>
            </w:pPr>
            <w:r w:rsidRPr="0039411B">
              <w:rPr>
                <w:rFonts w:ascii="Arial" w:hAnsi="Arial"/>
                <w:b w:val="0"/>
                <w:sz w:val="22"/>
                <w:szCs w:val="22"/>
              </w:rPr>
              <w:t>Erythemwirksame Schwellenbestrahlung</w:t>
            </w:r>
          </w:p>
        </w:tc>
        <w:tc>
          <w:tcPr>
            <w:tcW w:w="1012" w:type="dxa"/>
          </w:tcPr>
          <w:p w14:paraId="521E9B20" w14:textId="2FBA41EC" w:rsidR="004C7132" w:rsidRPr="0039411B" w:rsidRDefault="0039411B" w:rsidP="00044D4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39411B">
              <w:rPr>
                <w:rFonts w:ascii="Arial" w:hAnsi="Arial"/>
                <w:sz w:val="22"/>
                <w:szCs w:val="22"/>
              </w:rPr>
              <w:t>200 Mm-2</w:t>
            </w:r>
          </w:p>
        </w:tc>
        <w:tc>
          <w:tcPr>
            <w:tcW w:w="1157" w:type="dxa"/>
          </w:tcPr>
          <w:p w14:paraId="7B31F848" w14:textId="177FCD29" w:rsidR="004C7132" w:rsidRPr="0039411B" w:rsidRDefault="0039411B" w:rsidP="00044D4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39411B">
              <w:rPr>
                <w:rFonts w:ascii="Arial" w:hAnsi="Arial"/>
                <w:sz w:val="22"/>
                <w:szCs w:val="22"/>
              </w:rPr>
              <w:t>250 Jm-2</w:t>
            </w:r>
          </w:p>
        </w:tc>
        <w:tc>
          <w:tcPr>
            <w:tcW w:w="1320" w:type="dxa"/>
          </w:tcPr>
          <w:p w14:paraId="470EE44E" w14:textId="1CEE49E1" w:rsidR="004C7132" w:rsidRPr="0039411B" w:rsidRDefault="0039411B" w:rsidP="00044D4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39411B">
              <w:rPr>
                <w:rFonts w:ascii="Arial" w:hAnsi="Arial"/>
                <w:sz w:val="22"/>
                <w:szCs w:val="22"/>
              </w:rPr>
              <w:t>350 Jm-2</w:t>
            </w:r>
          </w:p>
        </w:tc>
        <w:tc>
          <w:tcPr>
            <w:tcW w:w="1261" w:type="dxa"/>
          </w:tcPr>
          <w:p w14:paraId="215971CF" w14:textId="7C95081D" w:rsidR="004C7132" w:rsidRPr="0039411B" w:rsidRDefault="0039411B" w:rsidP="00044D4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39411B">
              <w:rPr>
                <w:rFonts w:ascii="Arial" w:hAnsi="Arial"/>
                <w:sz w:val="22"/>
                <w:szCs w:val="22"/>
              </w:rPr>
              <w:t>450 Jm-2</w:t>
            </w:r>
          </w:p>
        </w:tc>
        <w:tc>
          <w:tcPr>
            <w:tcW w:w="1261" w:type="dxa"/>
          </w:tcPr>
          <w:p w14:paraId="7F6FD422" w14:textId="7C653665" w:rsidR="004C7132" w:rsidRPr="0039411B" w:rsidRDefault="0039411B" w:rsidP="00044D4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39411B">
              <w:rPr>
                <w:rFonts w:ascii="Arial" w:hAnsi="Arial"/>
                <w:sz w:val="22"/>
                <w:szCs w:val="22"/>
              </w:rPr>
              <w:t>800 Jm-2</w:t>
            </w:r>
          </w:p>
        </w:tc>
        <w:tc>
          <w:tcPr>
            <w:tcW w:w="1261" w:type="dxa"/>
          </w:tcPr>
          <w:p w14:paraId="002A1690" w14:textId="02330E0C" w:rsidR="004C7132" w:rsidRPr="0039411B" w:rsidRDefault="0039411B" w:rsidP="00044D4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39411B">
              <w:rPr>
                <w:rFonts w:ascii="MS Gothic" w:eastAsia="MS Gothic"/>
                <w:color w:val="000000"/>
                <w:sz w:val="22"/>
                <w:szCs w:val="22"/>
              </w:rPr>
              <w:t>≥</w:t>
            </w:r>
            <w:r w:rsidRPr="0039411B">
              <w:rPr>
                <w:rFonts w:ascii="MS Gothic" w:eastAsia="MS Gothic"/>
                <w:color w:val="000000"/>
                <w:sz w:val="22"/>
                <w:szCs w:val="22"/>
              </w:rPr>
              <w:t xml:space="preserve"> </w:t>
            </w:r>
            <w:r w:rsidRPr="0039411B">
              <w:rPr>
                <w:rFonts w:ascii="Arial" w:hAnsi="Arial"/>
                <w:sz w:val="22"/>
                <w:szCs w:val="22"/>
              </w:rPr>
              <w:t>1.000 Jm-2</w:t>
            </w:r>
          </w:p>
        </w:tc>
      </w:tr>
    </w:tbl>
    <w:p w14:paraId="421B4119" w14:textId="77777777" w:rsidR="00BF59DB" w:rsidRPr="00A05558" w:rsidRDefault="00BF59DB" w:rsidP="00044D42">
      <w:pPr>
        <w:spacing w:line="276" w:lineRule="auto"/>
        <w:jc w:val="both"/>
        <w:rPr>
          <w:rFonts w:ascii="Arial" w:hAnsi="Arial"/>
          <w:sz w:val="20"/>
          <w:szCs w:val="20"/>
        </w:rPr>
      </w:pPr>
    </w:p>
    <w:p w14:paraId="08D289F4" w14:textId="77777777" w:rsidR="00164BB6" w:rsidRDefault="00164BB6" w:rsidP="00044D42">
      <w:pPr>
        <w:spacing w:line="276" w:lineRule="auto"/>
        <w:jc w:val="both"/>
        <w:rPr>
          <w:rFonts w:ascii="Arial" w:hAnsi="Arial"/>
        </w:rPr>
      </w:pPr>
    </w:p>
    <w:p w14:paraId="10031170" w14:textId="159B5196" w:rsidR="00164BB6" w:rsidRDefault="00BF59DB" w:rsidP="00044D42">
      <w:pPr>
        <w:spacing w:line="276" w:lineRule="auto"/>
        <w:jc w:val="both"/>
        <w:rPr>
          <w:rFonts w:ascii="Arial" w:hAnsi="Arial"/>
        </w:rPr>
      </w:pPr>
      <w:r>
        <w:rPr>
          <w:rFonts w:ascii="Arial" w:hAnsi="Arial"/>
        </w:rPr>
        <w:t>Das Risiko an einem NMSC zu erkranken ist für helle Hauttypen (I, II) höher als für die Hauttypen III und IV (2).</w:t>
      </w:r>
    </w:p>
    <w:p w14:paraId="37784FC5" w14:textId="77777777" w:rsidR="000650C4" w:rsidRDefault="000650C4" w:rsidP="00044D42">
      <w:pPr>
        <w:spacing w:line="276" w:lineRule="auto"/>
        <w:jc w:val="both"/>
        <w:rPr>
          <w:rFonts w:ascii="Arial" w:hAnsi="Arial"/>
        </w:rPr>
      </w:pPr>
    </w:p>
    <w:p w14:paraId="4539BC1E" w14:textId="6E9DC72D" w:rsidR="00531D61" w:rsidRDefault="00906100" w:rsidP="00044D42">
      <w:pPr>
        <w:spacing w:line="276" w:lineRule="auto"/>
        <w:jc w:val="both"/>
        <w:rPr>
          <w:rFonts w:ascii="Arial" w:hAnsi="Arial"/>
        </w:rPr>
      </w:pPr>
      <w:r>
        <w:rPr>
          <w:rFonts w:ascii="Arial" w:hAnsi="Arial"/>
        </w:rPr>
        <w:t xml:space="preserve">Obwohl Aufklärungskampagnen für wirksame Sonnenschutzmaßnahmen eine sehr große Zielgruppenreichweite haben, hat die Bedeutung des Hautkrebses in der Bevölkerung zugenommen. Hauptursache der seit den 70er-Jahren steigenden Hautkrebsneuerkrankungen ist </w:t>
      </w:r>
      <w:r w:rsidR="00BE7FB6">
        <w:rPr>
          <w:rFonts w:ascii="Arial" w:hAnsi="Arial"/>
        </w:rPr>
        <w:t>einem veränderten Freizeitverha</w:t>
      </w:r>
      <w:r>
        <w:rPr>
          <w:rFonts w:ascii="Arial" w:hAnsi="Arial"/>
        </w:rPr>
        <w:t>lten und der damit einhergehenden zunehmende</w:t>
      </w:r>
      <w:r w:rsidR="00BE7FB6">
        <w:rPr>
          <w:rFonts w:ascii="Arial" w:hAnsi="Arial"/>
        </w:rPr>
        <w:t>n UV-Belastung zu sehen. Etwa</w:t>
      </w:r>
      <w:r>
        <w:rPr>
          <w:rFonts w:ascii="Arial" w:hAnsi="Arial"/>
        </w:rPr>
        <w:t xml:space="preserve"> jeder Achte (jeder siebte Mann und jede neunte Frau) erkrankt </w:t>
      </w:r>
      <w:r w:rsidR="004214E0">
        <w:rPr>
          <w:rFonts w:ascii="Arial" w:hAnsi="Arial"/>
        </w:rPr>
        <w:t>hierzulande</w:t>
      </w:r>
      <w:r>
        <w:rPr>
          <w:rFonts w:ascii="Arial" w:hAnsi="Arial"/>
        </w:rPr>
        <w:t xml:space="preserve"> bis zum Alter von 75 Jahren an Hautkrebs. Die Tendenz ist steigend – in der Bundesrepublik und auch weltweit (3).</w:t>
      </w:r>
    </w:p>
    <w:p w14:paraId="6DF6F2F4" w14:textId="77777777" w:rsidR="00906100" w:rsidRDefault="00906100" w:rsidP="00044D42">
      <w:pPr>
        <w:spacing w:line="276" w:lineRule="auto"/>
        <w:jc w:val="both"/>
        <w:rPr>
          <w:rFonts w:ascii="Arial" w:hAnsi="Arial"/>
        </w:rPr>
      </w:pPr>
    </w:p>
    <w:p w14:paraId="1D991BD9" w14:textId="027BE2BC" w:rsidR="000650C4" w:rsidRDefault="000650C4" w:rsidP="00044D42">
      <w:pPr>
        <w:spacing w:line="276" w:lineRule="auto"/>
        <w:jc w:val="both"/>
        <w:rPr>
          <w:rFonts w:ascii="Arial" w:hAnsi="Arial"/>
          <w:b/>
        </w:rPr>
      </w:pPr>
      <w:r w:rsidRPr="000650C4">
        <w:rPr>
          <w:rFonts w:ascii="Arial" w:hAnsi="Arial"/>
          <w:b/>
        </w:rPr>
        <w:t xml:space="preserve">Hautkrebsvorsorge beginnt </w:t>
      </w:r>
      <w:r>
        <w:rPr>
          <w:rFonts w:ascii="Arial" w:hAnsi="Arial"/>
          <w:b/>
        </w:rPr>
        <w:t>bei der</w:t>
      </w:r>
      <w:r w:rsidRPr="000650C4">
        <w:rPr>
          <w:rFonts w:ascii="Arial" w:hAnsi="Arial"/>
          <w:b/>
        </w:rPr>
        <w:t xml:space="preserve"> </w:t>
      </w:r>
      <w:r w:rsidR="00906100">
        <w:rPr>
          <w:rFonts w:ascii="Arial" w:hAnsi="Arial"/>
          <w:b/>
        </w:rPr>
        <w:t>medizinisch-dermatologischen Hautpflege</w:t>
      </w:r>
    </w:p>
    <w:p w14:paraId="4865BFCC" w14:textId="48AA2ABF" w:rsidR="00906100" w:rsidRPr="00BE7FB6" w:rsidRDefault="00BE7FB6" w:rsidP="00044D42">
      <w:pPr>
        <w:spacing w:line="276" w:lineRule="auto"/>
        <w:jc w:val="both"/>
        <w:rPr>
          <w:rFonts w:ascii="Arial" w:hAnsi="Arial"/>
        </w:rPr>
      </w:pPr>
      <w:r w:rsidRPr="00BE7FB6">
        <w:rPr>
          <w:rFonts w:ascii="Arial" w:hAnsi="Arial"/>
        </w:rPr>
        <w:t>Die Bildung</w:t>
      </w:r>
      <w:r>
        <w:rPr>
          <w:rFonts w:ascii="Arial" w:hAnsi="Arial"/>
        </w:rPr>
        <w:t xml:space="preserve"> von Pigmentstörungen, Leberflecken, Muttermale (Pigmentnevus), aktinische Keratose</w:t>
      </w:r>
      <w:r w:rsidR="00175CD2">
        <w:rPr>
          <w:rFonts w:ascii="Arial" w:hAnsi="Arial"/>
        </w:rPr>
        <w:t>n</w:t>
      </w:r>
      <w:r>
        <w:rPr>
          <w:rFonts w:ascii="Arial" w:hAnsi="Arial"/>
        </w:rPr>
        <w:t xml:space="preserve"> können das Risiko der Entstehung einer bösartigen Krebsart in sich bergen. Wichtig ist es, den genauen Typus jeder pigmentierten Hautwucherung zu bestimmen</w:t>
      </w:r>
      <w:r w:rsidR="00986B15">
        <w:rPr>
          <w:rFonts w:ascii="Arial" w:hAnsi="Arial"/>
        </w:rPr>
        <w:t xml:space="preserve"> und dermatologisch </w:t>
      </w:r>
      <w:r w:rsidR="00DD55DE">
        <w:rPr>
          <w:rFonts w:ascii="Arial" w:hAnsi="Arial"/>
        </w:rPr>
        <w:t>abzuklären</w:t>
      </w:r>
      <w:r w:rsidR="00986B15">
        <w:rPr>
          <w:rFonts w:ascii="Arial" w:hAnsi="Arial"/>
        </w:rPr>
        <w:t>.</w:t>
      </w:r>
    </w:p>
    <w:p w14:paraId="15CE2129" w14:textId="77777777" w:rsidR="000650C4" w:rsidRDefault="000650C4" w:rsidP="00044D42">
      <w:pPr>
        <w:spacing w:line="276" w:lineRule="auto"/>
        <w:jc w:val="both"/>
        <w:rPr>
          <w:rFonts w:ascii="Arial" w:hAnsi="Arial"/>
        </w:rPr>
      </w:pPr>
    </w:p>
    <w:p w14:paraId="1FDAE6C2" w14:textId="5A331FFA" w:rsidR="000650C4" w:rsidRPr="00986B15" w:rsidRDefault="00986B15" w:rsidP="00044D42">
      <w:pPr>
        <w:spacing w:line="276" w:lineRule="auto"/>
        <w:jc w:val="both"/>
        <w:rPr>
          <w:rFonts w:ascii="Arial" w:hAnsi="Arial"/>
          <w:i/>
          <w:u w:val="single"/>
        </w:rPr>
      </w:pPr>
      <w:r w:rsidRPr="00986B15">
        <w:rPr>
          <w:rFonts w:ascii="Arial" w:hAnsi="Arial"/>
          <w:i/>
          <w:u w:val="single"/>
        </w:rPr>
        <w:lastRenderedPageBreak/>
        <w:t>Als vorbeugende Maßnahme zur Behandlung von Pigmentverschiebungen habe ich die „Ultimate Vita C + US Behandlung“ entwickelt:</w:t>
      </w:r>
    </w:p>
    <w:p w14:paraId="661A2200" w14:textId="5D110B19" w:rsidR="00986B15" w:rsidRDefault="00986B15" w:rsidP="00582F6B">
      <w:pPr>
        <w:spacing w:line="276" w:lineRule="auto"/>
        <w:jc w:val="both"/>
        <w:rPr>
          <w:rFonts w:ascii="Arial" w:hAnsi="Arial"/>
        </w:rPr>
      </w:pPr>
      <w:r w:rsidRPr="00986B15">
        <w:rPr>
          <w:rFonts w:ascii="Arial" w:hAnsi="Arial"/>
          <w:i/>
        </w:rPr>
        <w:t>Die Anwendung</w:t>
      </w:r>
      <w:r w:rsidRPr="00986B15">
        <w:rPr>
          <w:rFonts w:ascii="Arial" w:hAnsi="Arial"/>
        </w:rPr>
        <w:t>: Nach einer speziellen Reinigungsphase erfolgt die Peelingphase mit einem Enzyme-Produkt und Fruchtsäure-Peeling (AHA 10%), um überflüssige Hautschüppchen zu entfernen und gleichzeitig Pigmentflecken zu reduzieren</w:t>
      </w:r>
    </w:p>
    <w:p w14:paraId="71E3A4E2" w14:textId="45395408" w:rsidR="00582F6B" w:rsidRDefault="00582F6B" w:rsidP="00582F6B">
      <w:pPr>
        <w:spacing w:line="276" w:lineRule="auto"/>
        <w:jc w:val="both"/>
        <w:rPr>
          <w:rFonts w:ascii="Arial" w:hAnsi="Arial"/>
        </w:rPr>
      </w:pPr>
    </w:p>
    <w:p w14:paraId="4359A055" w14:textId="60F10E37" w:rsidR="00582F6B" w:rsidRPr="00582F6B" w:rsidRDefault="00582F6B" w:rsidP="00582F6B">
      <w:pPr>
        <w:spacing w:line="276" w:lineRule="auto"/>
        <w:jc w:val="both"/>
        <w:rPr>
          <w:rFonts w:ascii="Arial" w:hAnsi="Arial"/>
          <w:color w:val="1F497D" w:themeColor="text2"/>
          <w:sz w:val="44"/>
          <w:szCs w:val="44"/>
        </w:rPr>
      </w:pPr>
      <w:r w:rsidRPr="00582F6B">
        <w:rPr>
          <w:rFonts w:ascii="Arial" w:hAnsi="Arial"/>
          <w:color w:val="1F497D" w:themeColor="text2"/>
          <w:sz w:val="44"/>
          <w:szCs w:val="44"/>
        </w:rPr>
        <w:t>Weitere Information im Kursinhalt</w:t>
      </w:r>
    </w:p>
    <w:p w14:paraId="1ABB4E91" w14:textId="1EC1CA73" w:rsidR="00582F6B" w:rsidRPr="00582F6B" w:rsidRDefault="00582F6B" w:rsidP="00582F6B">
      <w:pPr>
        <w:spacing w:line="276" w:lineRule="auto"/>
        <w:jc w:val="both"/>
        <w:rPr>
          <w:rFonts w:ascii="Arial" w:hAnsi="Arial"/>
          <w:color w:val="1F497D" w:themeColor="text2"/>
          <w:sz w:val="44"/>
          <w:szCs w:val="44"/>
        </w:rPr>
      </w:pPr>
    </w:p>
    <w:p w14:paraId="0B8052FB" w14:textId="77777777" w:rsidR="00582F6B" w:rsidRDefault="00582F6B" w:rsidP="00582F6B">
      <w:pPr>
        <w:spacing w:line="276" w:lineRule="auto"/>
        <w:jc w:val="both"/>
        <w:rPr>
          <w:rFonts w:ascii="Arial" w:hAnsi="Arial"/>
        </w:rPr>
      </w:pPr>
    </w:p>
    <w:p w14:paraId="139748BF" w14:textId="77777777" w:rsidR="00986B15" w:rsidRPr="00414DBF" w:rsidRDefault="00986B15" w:rsidP="00986B15">
      <w:pPr>
        <w:spacing w:line="276" w:lineRule="auto"/>
        <w:jc w:val="both"/>
        <w:rPr>
          <w:rFonts w:ascii="Arial" w:hAnsi="Arial"/>
          <w:i/>
          <w:u w:val="single"/>
        </w:rPr>
      </w:pPr>
      <w:r>
        <w:rPr>
          <w:rFonts w:ascii="Arial" w:hAnsi="Arial"/>
          <w:i/>
          <w:u w:val="single"/>
        </w:rPr>
        <w:t>Dermatologisch-onkologisches Concept bei lichtgeschädigter Haut:</w:t>
      </w:r>
    </w:p>
    <w:p w14:paraId="2DCE8CB2" w14:textId="77777777" w:rsidR="00986B15" w:rsidRPr="00CC34EB" w:rsidRDefault="00986B15" w:rsidP="00986B15">
      <w:pPr>
        <w:spacing w:line="276" w:lineRule="auto"/>
        <w:jc w:val="both"/>
        <w:rPr>
          <w:rFonts w:ascii="Arial" w:hAnsi="Arial"/>
        </w:rPr>
      </w:pPr>
      <w:r>
        <w:rPr>
          <w:rFonts w:ascii="Arial" w:hAnsi="Arial"/>
        </w:rPr>
        <w:t>Um Sonnenschäden eindrucksvoll zu visualisieren, werden mit dem UV-Scan die Folgen intensiver UV-Exposition aufgezeigt. Dabei wird von der Haut ein Digital-Farbfoto aufgenommen und durch einen speziellen Softwarefilter in eine pigmentverstärkende monochrome Aufnahme umgewandelt. Dieses UV-Bild zeigt bereits vorhandene Sonnenschäden. Mit dem UV-Licht können kaum sichtbare Pigmentierungsstörungen (Altersflecken, Sommersprossen) deutlich herausgestellt werden, die bei normalem Licht nur schwer zu sehen sind. Die UV-Aufnahmen zeigen den Effekt intensiver und übermäßiger UV-Exposition deutlich an, die sich im UV-Bild in Form von uneinheitlichen und ungleichmäßigen dunklen Stellen darstellt. Das Screening unterstützt eine frühzeitige Diagnose und die Therapie zur Vorbeugung eines hellen Hautkrebses n.</w:t>
      </w:r>
    </w:p>
    <w:p w14:paraId="67F8632D" w14:textId="77777777" w:rsidR="00986B15" w:rsidRDefault="00986B15" w:rsidP="00986B15">
      <w:pPr>
        <w:spacing w:line="276" w:lineRule="auto"/>
        <w:jc w:val="both"/>
        <w:rPr>
          <w:rFonts w:ascii="Arial" w:hAnsi="Arial"/>
        </w:rPr>
      </w:pPr>
    </w:p>
    <w:p w14:paraId="3F019F5F" w14:textId="39B3858C" w:rsidR="00986B15" w:rsidRDefault="00986B15" w:rsidP="00986B15">
      <w:pPr>
        <w:spacing w:line="276" w:lineRule="auto"/>
        <w:jc w:val="both"/>
        <w:rPr>
          <w:rFonts w:ascii="Arial" w:hAnsi="Arial"/>
        </w:rPr>
      </w:pPr>
      <w:r>
        <w:rPr>
          <w:rFonts w:ascii="Arial" w:hAnsi="Arial"/>
        </w:rPr>
        <w:t xml:space="preserve">Die Wood-Lampe oder Wood-Licht (Schwarzlicht) ist eine spezielle Untersuchungslampe, mit der u.a. Hautveränderungen beleuchtet werden und ist das Basisgeräte für die medizinische Hautdiagnostik. Sie ist geeignet zum Erkennen von Krankheitsherden oder zur Beurteilung von Pigmentveränderungen der Haut. Woodlicht kann zur diagnostischen Unterscheidung von Melanomen oder melanozytären Hyperplasien eingesetzt werden. Mit der Lampe lassen sich fluoreszente Krankheitsherde auf der Haut oder Pigmentveränderungen bzw. </w:t>
      </w:r>
      <w:r w:rsidR="004214E0">
        <w:rPr>
          <w:rFonts w:ascii="Arial" w:hAnsi="Arial"/>
        </w:rPr>
        <w:t>Hyper-</w:t>
      </w:r>
      <w:r>
        <w:rPr>
          <w:rFonts w:ascii="Arial" w:hAnsi="Arial"/>
        </w:rPr>
        <w:t xml:space="preserve"> oder Hypopigmentierung der Haut erkennen.</w:t>
      </w:r>
    </w:p>
    <w:p w14:paraId="3C4BDA2D" w14:textId="77777777" w:rsidR="00986B15" w:rsidRDefault="00986B15" w:rsidP="00986B15">
      <w:pPr>
        <w:spacing w:line="276" w:lineRule="auto"/>
        <w:jc w:val="both"/>
        <w:rPr>
          <w:rFonts w:ascii="Arial" w:hAnsi="Arial"/>
        </w:rPr>
      </w:pPr>
    </w:p>
    <w:p w14:paraId="49B0AFB1" w14:textId="7609F5D1" w:rsidR="00986B15" w:rsidRDefault="00986B15" w:rsidP="00582F6B">
      <w:pPr>
        <w:pStyle w:val="Listenabsatz"/>
        <w:numPr>
          <w:ilvl w:val="0"/>
          <w:numId w:val="1"/>
        </w:numPr>
        <w:spacing w:line="276" w:lineRule="auto"/>
        <w:jc w:val="both"/>
        <w:rPr>
          <w:rFonts w:ascii="Arial" w:hAnsi="Arial"/>
        </w:rPr>
      </w:pPr>
      <w:r w:rsidRPr="00C1307A">
        <w:rPr>
          <w:rFonts w:ascii="Arial" w:hAnsi="Arial"/>
        </w:rPr>
        <w:t xml:space="preserve">Für das </w:t>
      </w:r>
      <w:r w:rsidR="004214E0">
        <w:rPr>
          <w:rFonts w:ascii="Arial" w:hAnsi="Arial"/>
        </w:rPr>
        <w:t>Fruchtsäurepeeling</w:t>
      </w:r>
      <w:r w:rsidRPr="00C1307A">
        <w:rPr>
          <w:rFonts w:ascii="Arial" w:hAnsi="Arial"/>
        </w:rPr>
        <w:t xml:space="preserve"> kommen Extrakte aus Apfelsäure, Glycolsäure oder der Milchsäure zur Anwendung, die speziell aufbereitet werden und eine </w:t>
      </w:r>
    </w:p>
    <w:p w14:paraId="1A50FF0E" w14:textId="3D0A09D5" w:rsidR="00986B15" w:rsidRDefault="00986B15" w:rsidP="00986B15">
      <w:pPr>
        <w:spacing w:line="276" w:lineRule="auto"/>
        <w:jc w:val="both"/>
        <w:rPr>
          <w:rFonts w:ascii="Arial" w:hAnsi="Arial"/>
          <w:lang w:eastAsia="ja-JP"/>
        </w:rPr>
      </w:pPr>
      <w:r>
        <w:rPr>
          <w:rFonts w:ascii="Arial" w:hAnsi="Arial"/>
        </w:rPr>
        <w:t xml:space="preserve">Für die weiterführende Behandlung wird eine Hautpflege mit Glutathion empfohlen. </w:t>
      </w:r>
      <w:r>
        <w:rPr>
          <w:rFonts w:ascii="Arial" w:hAnsi="Arial"/>
          <w:lang w:eastAsia="ja-JP"/>
        </w:rPr>
        <w:t>Glutathion ist ein natürliches Molekül, das vor allem in der Leber hergestellt wird und aus den drei Aminosäuren Glutamin, Cystein und Glycin besteht. Glutathion ist essenziell für einen reibungslosen Hautzellstoffwechsel, der durch Umweltgifte und UV-Strahlung stark gefordert und oftmals auch überfordert ist, dies führt zu einer Schädigung der Haut und damit zu Hautalterung. Glutathion als protektiver Faktor an der Haut hat daher einen hohen Stellenwert im Bereich der Vorbeugung und Regenerierung von Hautschäden, Es sichert und erhält den Ablauf des Zellstoffwechsels; außerdem greift es positiv in Entzündungsprozesse der Haut ein und trägt damit zur Stärkung der Hautimmunität bei.</w:t>
      </w:r>
      <w:r w:rsidR="007F57A8">
        <w:rPr>
          <w:rFonts w:ascii="Arial" w:hAnsi="Arial"/>
          <w:lang w:eastAsia="ja-JP"/>
        </w:rPr>
        <w:t xml:space="preserve"> (4)</w:t>
      </w:r>
    </w:p>
    <w:p w14:paraId="30558930" w14:textId="77777777" w:rsidR="00986B15" w:rsidRPr="00617F89" w:rsidRDefault="00986B15" w:rsidP="00986B15">
      <w:pPr>
        <w:spacing w:line="276" w:lineRule="auto"/>
        <w:jc w:val="both"/>
        <w:rPr>
          <w:rFonts w:ascii="Arial" w:hAnsi="Arial"/>
        </w:rPr>
      </w:pPr>
    </w:p>
    <w:p w14:paraId="5C7CCCC1" w14:textId="0AD70B76" w:rsidR="00986B15" w:rsidRDefault="00986B15" w:rsidP="00986B15">
      <w:pPr>
        <w:spacing w:line="276" w:lineRule="auto"/>
        <w:jc w:val="both"/>
        <w:rPr>
          <w:rFonts w:ascii="Arial" w:eastAsia="Times New Roman" w:hAnsi="Arial" w:cs="Arial"/>
          <w:bCs/>
        </w:rPr>
      </w:pPr>
      <w:r>
        <w:rPr>
          <w:rFonts w:ascii="Arial" w:hAnsi="Arial"/>
        </w:rPr>
        <w:t xml:space="preserve">Eine weitere Möglichkeit, nicht sichtbare Lichtschäden oder aber auch aktinische Keratosen zu behandeln, ist die Photodynamische Therapie (PDT). </w:t>
      </w:r>
      <w:r>
        <w:rPr>
          <w:rFonts w:ascii="Arial" w:eastAsia="Times New Roman" w:hAnsi="Arial" w:cs="Arial"/>
          <w:bCs/>
        </w:rPr>
        <w:t xml:space="preserve">Die Erfolgsrate der PDT liegt bei 70 bis 78 Prozent nach einmaliger Anwendung und bis zu 90 Prozent nach einer zweiten Behandlung eine Woche später. </w:t>
      </w:r>
    </w:p>
    <w:p w14:paraId="76DF5F51" w14:textId="77777777" w:rsidR="00986B15" w:rsidRDefault="00986B15" w:rsidP="00205ECA">
      <w:pPr>
        <w:spacing w:line="276" w:lineRule="auto"/>
        <w:jc w:val="both"/>
        <w:rPr>
          <w:rFonts w:ascii="Arial" w:hAnsi="Arial"/>
        </w:rPr>
      </w:pPr>
    </w:p>
    <w:p w14:paraId="7258A221" w14:textId="4D01396A" w:rsidR="00986B15" w:rsidRPr="00AC5BEF" w:rsidRDefault="00DE18AD" w:rsidP="00582F6B">
      <w:pPr>
        <w:pStyle w:val="Titel"/>
      </w:pPr>
      <w:r>
        <w:t>Behandlungsmaßnahmen in Obhut der</w:t>
      </w:r>
      <w:r w:rsidR="00AC5BEF" w:rsidRPr="00AC5BEF">
        <w:t xml:space="preserve"> Onkologischen Hauttherapeutin</w:t>
      </w:r>
    </w:p>
    <w:p w14:paraId="705A8923" w14:textId="755C1760" w:rsidR="00205ECA" w:rsidRDefault="00AC5BEF" w:rsidP="00DE18AD">
      <w:pPr>
        <w:spacing w:line="276" w:lineRule="auto"/>
        <w:jc w:val="both"/>
        <w:rPr>
          <w:rFonts w:ascii="Arial" w:hAnsi="Arial"/>
        </w:rPr>
      </w:pPr>
      <w:r>
        <w:rPr>
          <w:rFonts w:ascii="Arial" w:hAnsi="Arial"/>
        </w:rPr>
        <w:t>Hinter dem Derma</w:t>
      </w:r>
      <w:r w:rsidR="00205ECA">
        <w:rPr>
          <w:rFonts w:ascii="Arial" w:hAnsi="Arial"/>
        </w:rPr>
        <w:t>tologisch-onkologischen Concept</w:t>
      </w:r>
      <w:r>
        <w:rPr>
          <w:rFonts w:ascii="Arial" w:hAnsi="Arial"/>
        </w:rPr>
        <w:t xml:space="preserve"> in Beratung und Behandlung steht </w:t>
      </w:r>
      <w:bookmarkStart w:id="0" w:name="_GoBack"/>
      <w:bookmarkEnd w:id="0"/>
      <w:r>
        <w:rPr>
          <w:rFonts w:ascii="Arial" w:hAnsi="Arial"/>
        </w:rPr>
        <w:t xml:space="preserve">in meiner Praxis die Weiterbildung zur Onkologischen Hauttherapeutin. </w:t>
      </w:r>
      <w:r w:rsidR="00184CE1">
        <w:rPr>
          <w:rFonts w:ascii="Arial" w:hAnsi="Arial"/>
        </w:rPr>
        <w:t>Hierbei handelt es sich um eine Zusatzqualifikation in Form einer 2-jährigen Fortbildungsmaßnahme, die ich bereits in meiner Praxis durchführe und hierfür das „Netzwerk Gesunder Patient sowie die Akademie Fachrichtung Dermatologie</w:t>
      </w:r>
      <w:r w:rsidR="00205ECA">
        <w:rPr>
          <w:rFonts w:ascii="Arial" w:hAnsi="Arial"/>
        </w:rPr>
        <w:t xml:space="preserve"> &amp; Ästhetik</w:t>
      </w:r>
      <w:r w:rsidR="00184CE1">
        <w:rPr>
          <w:rFonts w:ascii="Arial" w:hAnsi="Arial"/>
        </w:rPr>
        <w:t xml:space="preserve">“ gegründet habe. </w:t>
      </w:r>
      <w:r w:rsidR="00205ECA">
        <w:rPr>
          <w:rFonts w:ascii="Arial" w:hAnsi="Arial"/>
        </w:rPr>
        <w:t>Die Onkologische Hauttherapeutin ist für das Behandlungsmanagement verantwortlich und entwickelt dieses in Absprache mit dem Arzt, der in der heutigen Medizin nicht mehr der Behandler, sondern der Entscheider ist, Empfehlungen gibt und Behandlungsmaßnahmen anordnet.</w:t>
      </w:r>
      <w:r w:rsidR="00DE18AD">
        <w:rPr>
          <w:rFonts w:ascii="Arial" w:hAnsi="Arial"/>
        </w:rPr>
        <w:t xml:space="preserve"> Vorteile der Zusatzqualifikation:</w:t>
      </w:r>
    </w:p>
    <w:p w14:paraId="0D4A8A04" w14:textId="32CF01DD" w:rsidR="00DE18AD" w:rsidRPr="00582F6B" w:rsidRDefault="00DE18AD" w:rsidP="00DE18AD">
      <w:pPr>
        <w:pStyle w:val="Listenabsatz"/>
        <w:numPr>
          <w:ilvl w:val="0"/>
          <w:numId w:val="2"/>
        </w:numPr>
        <w:spacing w:line="276" w:lineRule="auto"/>
        <w:jc w:val="both"/>
        <w:rPr>
          <w:rFonts w:ascii="Arial" w:hAnsi="Arial"/>
          <w:color w:val="1F497D" w:themeColor="text2"/>
          <w:sz w:val="36"/>
          <w:szCs w:val="36"/>
        </w:rPr>
      </w:pPr>
      <w:r w:rsidRPr="00582F6B">
        <w:rPr>
          <w:rFonts w:ascii="Arial" w:hAnsi="Arial"/>
          <w:color w:val="1F497D" w:themeColor="text2"/>
          <w:sz w:val="36"/>
          <w:szCs w:val="36"/>
        </w:rPr>
        <w:t>Wirtschaftliche Vorteile für die Praxis mit „Wettbewerbsvorteil“</w:t>
      </w:r>
    </w:p>
    <w:p w14:paraId="703B6CEF" w14:textId="217095A0" w:rsidR="00DE18AD" w:rsidRPr="00582F6B" w:rsidRDefault="00A87126" w:rsidP="00DE18AD">
      <w:pPr>
        <w:pStyle w:val="Listenabsatz"/>
        <w:numPr>
          <w:ilvl w:val="0"/>
          <w:numId w:val="2"/>
        </w:numPr>
        <w:spacing w:line="276" w:lineRule="auto"/>
        <w:jc w:val="both"/>
        <w:rPr>
          <w:rFonts w:ascii="Arial" w:hAnsi="Arial"/>
          <w:color w:val="1F497D" w:themeColor="text2"/>
          <w:sz w:val="36"/>
          <w:szCs w:val="36"/>
        </w:rPr>
      </w:pPr>
      <w:r w:rsidRPr="00582F6B">
        <w:rPr>
          <w:rFonts w:ascii="Arial" w:hAnsi="Arial"/>
          <w:color w:val="1F497D" w:themeColor="text2"/>
          <w:sz w:val="36"/>
          <w:szCs w:val="36"/>
        </w:rPr>
        <w:t>Steuerlich</w:t>
      </w:r>
      <w:r w:rsidR="00DE18AD" w:rsidRPr="00582F6B">
        <w:rPr>
          <w:rFonts w:ascii="Arial" w:hAnsi="Arial"/>
          <w:color w:val="1F497D" w:themeColor="text2"/>
          <w:sz w:val="36"/>
          <w:szCs w:val="36"/>
        </w:rPr>
        <w:t xml:space="preserve"> absetzbar</w:t>
      </w:r>
    </w:p>
    <w:p w14:paraId="1D969F73" w14:textId="1C8CD943" w:rsidR="00DE18AD" w:rsidRPr="00582F6B" w:rsidRDefault="00DE18AD" w:rsidP="00DE18AD">
      <w:pPr>
        <w:pStyle w:val="Listenabsatz"/>
        <w:numPr>
          <w:ilvl w:val="0"/>
          <w:numId w:val="2"/>
        </w:numPr>
        <w:spacing w:line="276" w:lineRule="auto"/>
        <w:jc w:val="both"/>
        <w:rPr>
          <w:rFonts w:ascii="Arial" w:hAnsi="Arial"/>
          <w:color w:val="1F497D" w:themeColor="text2"/>
          <w:sz w:val="36"/>
          <w:szCs w:val="36"/>
        </w:rPr>
      </w:pPr>
      <w:r w:rsidRPr="00582F6B">
        <w:rPr>
          <w:rFonts w:ascii="Arial" w:hAnsi="Arial"/>
          <w:color w:val="1F497D" w:themeColor="text2"/>
          <w:sz w:val="36"/>
          <w:szCs w:val="36"/>
        </w:rPr>
        <w:t>Bietet Patienten-/Kunden-Vorteile</w:t>
      </w:r>
    </w:p>
    <w:p w14:paraId="6B50F9D2" w14:textId="5EA6A148" w:rsidR="00DE18AD" w:rsidRPr="00582F6B" w:rsidRDefault="00DE18AD" w:rsidP="00DE18AD">
      <w:pPr>
        <w:pStyle w:val="Listenabsatz"/>
        <w:numPr>
          <w:ilvl w:val="0"/>
          <w:numId w:val="2"/>
        </w:numPr>
        <w:spacing w:line="276" w:lineRule="auto"/>
        <w:jc w:val="both"/>
        <w:rPr>
          <w:rFonts w:ascii="Arial" w:hAnsi="Arial"/>
          <w:color w:val="1F497D" w:themeColor="text2"/>
          <w:sz w:val="36"/>
          <w:szCs w:val="36"/>
        </w:rPr>
      </w:pPr>
      <w:r w:rsidRPr="00582F6B">
        <w:rPr>
          <w:rFonts w:ascii="Arial" w:hAnsi="Arial"/>
          <w:color w:val="1F497D" w:themeColor="text2"/>
          <w:sz w:val="36"/>
          <w:szCs w:val="36"/>
        </w:rPr>
        <w:t>Gibt dem Praxisalltag eine reelle Berechtigung</w:t>
      </w:r>
    </w:p>
    <w:p w14:paraId="67590F23" w14:textId="0F5054E9" w:rsidR="00DE18AD" w:rsidRPr="00582F6B" w:rsidRDefault="00DE18AD" w:rsidP="00DE18AD">
      <w:pPr>
        <w:pStyle w:val="Listenabsatz"/>
        <w:numPr>
          <w:ilvl w:val="0"/>
          <w:numId w:val="2"/>
        </w:numPr>
        <w:spacing w:line="276" w:lineRule="auto"/>
        <w:jc w:val="both"/>
        <w:rPr>
          <w:rFonts w:ascii="Arial" w:hAnsi="Arial"/>
          <w:color w:val="1F497D" w:themeColor="text2"/>
          <w:sz w:val="36"/>
          <w:szCs w:val="36"/>
        </w:rPr>
      </w:pPr>
      <w:r w:rsidRPr="00582F6B">
        <w:rPr>
          <w:rFonts w:ascii="Arial" w:hAnsi="Arial"/>
          <w:color w:val="1F497D" w:themeColor="text2"/>
          <w:sz w:val="36"/>
          <w:szCs w:val="36"/>
        </w:rPr>
        <w:t>Unterstützt Patienten/Kunden durch zusätzliche Dienstleistung „gesunder Lebensstil“</w:t>
      </w:r>
    </w:p>
    <w:p w14:paraId="17D6268B" w14:textId="713D9F9B" w:rsidR="00DE18AD" w:rsidRPr="00582F6B" w:rsidRDefault="00DE18AD" w:rsidP="00DE18AD">
      <w:pPr>
        <w:pStyle w:val="Listenabsatz"/>
        <w:numPr>
          <w:ilvl w:val="0"/>
          <w:numId w:val="2"/>
        </w:numPr>
        <w:spacing w:line="276" w:lineRule="auto"/>
        <w:jc w:val="both"/>
        <w:rPr>
          <w:rFonts w:ascii="Arial" w:hAnsi="Arial"/>
          <w:color w:val="1F497D" w:themeColor="text2"/>
          <w:sz w:val="36"/>
          <w:szCs w:val="36"/>
        </w:rPr>
      </w:pPr>
      <w:r w:rsidRPr="00582F6B">
        <w:rPr>
          <w:rFonts w:ascii="Arial" w:hAnsi="Arial"/>
          <w:color w:val="1F497D" w:themeColor="text2"/>
          <w:sz w:val="36"/>
          <w:szCs w:val="36"/>
        </w:rPr>
        <w:t>Bietet eine ambulante „Rund-um-Versorgung“</w:t>
      </w:r>
    </w:p>
    <w:p w14:paraId="6420E6A8" w14:textId="001B0483" w:rsidR="00DE18AD" w:rsidRPr="00582F6B" w:rsidRDefault="00DE18AD" w:rsidP="00DE18AD">
      <w:pPr>
        <w:pStyle w:val="Listenabsatz"/>
        <w:numPr>
          <w:ilvl w:val="0"/>
          <w:numId w:val="2"/>
        </w:numPr>
        <w:spacing w:line="276" w:lineRule="auto"/>
        <w:jc w:val="both"/>
        <w:rPr>
          <w:rFonts w:ascii="Arial" w:hAnsi="Arial"/>
          <w:color w:val="1F497D" w:themeColor="text2"/>
          <w:sz w:val="36"/>
          <w:szCs w:val="36"/>
        </w:rPr>
      </w:pPr>
      <w:r w:rsidRPr="00582F6B">
        <w:rPr>
          <w:rFonts w:ascii="Arial" w:hAnsi="Arial"/>
          <w:color w:val="1F497D" w:themeColor="text2"/>
          <w:sz w:val="36"/>
          <w:szCs w:val="36"/>
        </w:rPr>
        <w:t>Kann auf alle Facharztpraxen übertragen werden</w:t>
      </w:r>
    </w:p>
    <w:p w14:paraId="43046788" w14:textId="1C5F1114" w:rsidR="00DE18AD" w:rsidRPr="00582F6B" w:rsidRDefault="00DE18AD" w:rsidP="00DE18AD">
      <w:pPr>
        <w:pStyle w:val="Listenabsatz"/>
        <w:numPr>
          <w:ilvl w:val="0"/>
          <w:numId w:val="2"/>
        </w:numPr>
        <w:spacing w:line="276" w:lineRule="auto"/>
        <w:jc w:val="both"/>
        <w:rPr>
          <w:rFonts w:ascii="Arial" w:hAnsi="Arial"/>
          <w:color w:val="1F497D" w:themeColor="text2"/>
          <w:sz w:val="36"/>
          <w:szCs w:val="36"/>
        </w:rPr>
      </w:pPr>
      <w:r w:rsidRPr="00582F6B">
        <w:rPr>
          <w:rFonts w:ascii="Arial" w:hAnsi="Arial"/>
          <w:color w:val="1F497D" w:themeColor="text2"/>
          <w:sz w:val="36"/>
          <w:szCs w:val="36"/>
        </w:rPr>
        <w:t>Reduziert die Belastung des Gesundheitssystems</w:t>
      </w:r>
    </w:p>
    <w:p w14:paraId="061EEFC8" w14:textId="77777777" w:rsidR="00DE18AD" w:rsidRPr="00582F6B" w:rsidRDefault="00DE18AD" w:rsidP="00DE18AD">
      <w:pPr>
        <w:spacing w:line="276" w:lineRule="auto"/>
        <w:jc w:val="both"/>
        <w:rPr>
          <w:rFonts w:ascii="Arial" w:hAnsi="Arial"/>
          <w:sz w:val="36"/>
          <w:szCs w:val="36"/>
        </w:rPr>
      </w:pPr>
    </w:p>
    <w:p w14:paraId="14A810FB" w14:textId="2E86127E" w:rsidR="007A1610" w:rsidRDefault="00DE18AD">
      <w:pPr>
        <w:rPr>
          <w:rFonts w:ascii="Arial" w:hAnsi="Arial"/>
          <w:b/>
        </w:rPr>
      </w:pPr>
      <w:r w:rsidRPr="00DE18AD">
        <w:rPr>
          <w:rFonts w:ascii="Arial" w:hAnsi="Arial"/>
          <w:b/>
        </w:rPr>
        <w:t>Abrechnung nach GOÄ-Gebührenordnung</w:t>
      </w:r>
    </w:p>
    <w:p w14:paraId="395516B2" w14:textId="6AA9CBEA" w:rsidR="00364AFF" w:rsidRPr="00582F6B" w:rsidRDefault="00582F6B">
      <w:pPr>
        <w:rPr>
          <w:rFonts w:ascii="Arial" w:hAnsi="Arial"/>
          <w:color w:val="1F497D" w:themeColor="text2"/>
          <w:sz w:val="36"/>
          <w:szCs w:val="36"/>
        </w:rPr>
      </w:pPr>
      <w:r w:rsidRPr="00582F6B">
        <w:rPr>
          <w:rFonts w:ascii="Arial" w:hAnsi="Arial"/>
          <w:color w:val="1F497D" w:themeColor="text2"/>
          <w:sz w:val="36"/>
          <w:szCs w:val="36"/>
        </w:rPr>
        <w:t>Siehe Kursinhalte</w:t>
      </w:r>
    </w:p>
    <w:p w14:paraId="0F00BD7B" w14:textId="77777777" w:rsidR="00582F6B" w:rsidRPr="00582F6B" w:rsidRDefault="00582F6B">
      <w:pPr>
        <w:rPr>
          <w:rFonts w:ascii="Arial" w:hAnsi="Arial"/>
          <w:color w:val="FF0000"/>
          <w:sz w:val="36"/>
          <w:szCs w:val="36"/>
        </w:rPr>
      </w:pPr>
    </w:p>
    <w:p w14:paraId="10547A51" w14:textId="59DA9207" w:rsidR="00364AFF" w:rsidRPr="00364AFF" w:rsidRDefault="00364AFF">
      <w:pPr>
        <w:rPr>
          <w:rFonts w:ascii="Arial" w:hAnsi="Arial"/>
          <w:b/>
        </w:rPr>
      </w:pPr>
      <w:r w:rsidRPr="00364AFF">
        <w:rPr>
          <w:rFonts w:ascii="Arial" w:hAnsi="Arial"/>
          <w:b/>
        </w:rPr>
        <w:t>Literatur</w:t>
      </w:r>
    </w:p>
    <w:p w14:paraId="13E52C20" w14:textId="57791579" w:rsidR="00364AFF" w:rsidRDefault="00364AFF">
      <w:pPr>
        <w:rPr>
          <w:rFonts w:ascii="Arial" w:hAnsi="Arial"/>
        </w:rPr>
      </w:pPr>
      <w:r>
        <w:rPr>
          <w:rFonts w:ascii="Arial" w:hAnsi="Arial"/>
        </w:rPr>
        <w:t>1_Gesellschaft der epidemiologischen Krebsregister in Deutschland e.V., GEKID-Atlas „Inzidenz und Mortalität von Krebserkrankungen in den Bundesländern; interaktiver Atlas der Gesellschaft für epidemiologische Krebsregister in Deutschland 2012.</w:t>
      </w:r>
    </w:p>
    <w:p w14:paraId="3120FE8B" w14:textId="6F28FD08" w:rsidR="00364AFF" w:rsidRDefault="00364AFF">
      <w:pPr>
        <w:rPr>
          <w:rFonts w:ascii="Arial" w:hAnsi="Arial"/>
        </w:rPr>
      </w:pPr>
      <w:r>
        <w:rPr>
          <w:rFonts w:ascii="Arial" w:hAnsi="Arial"/>
        </w:rPr>
        <w:lastRenderedPageBreak/>
        <w:t>2_S3-Leitlinie Prävention von Hautkrebs, April 2014</w:t>
      </w:r>
    </w:p>
    <w:p w14:paraId="4B4BDF82" w14:textId="45280739" w:rsidR="007F57A8" w:rsidRDefault="007F57A8">
      <w:pPr>
        <w:rPr>
          <w:rFonts w:ascii="Arial" w:hAnsi="Arial"/>
        </w:rPr>
      </w:pPr>
      <w:r>
        <w:rPr>
          <w:rFonts w:ascii="Arial" w:hAnsi="Arial"/>
        </w:rPr>
        <w:t>3_Arbeitsgemeinschaft Dermatologische Prävention</w:t>
      </w:r>
    </w:p>
    <w:p w14:paraId="2BA9DD31" w14:textId="2E975F38" w:rsidR="007F57A8" w:rsidRDefault="007F57A8">
      <w:pPr>
        <w:rPr>
          <w:rFonts w:ascii="Arial" w:hAnsi="Arial"/>
        </w:rPr>
      </w:pPr>
      <w:r>
        <w:rPr>
          <w:rFonts w:ascii="Arial" w:hAnsi="Arial"/>
        </w:rPr>
        <w:t>4_A. Rietz, K. S. Zänker, Akt. Dermatologie 38: 167-172</w:t>
      </w:r>
    </w:p>
    <w:p w14:paraId="301477EA" w14:textId="77777777" w:rsidR="007F57A8" w:rsidRDefault="007F57A8">
      <w:pPr>
        <w:rPr>
          <w:rFonts w:ascii="Arial" w:hAnsi="Arial"/>
        </w:rPr>
      </w:pPr>
    </w:p>
    <w:p w14:paraId="59D1F8D4" w14:textId="4EEEFD72" w:rsidR="00364AFF" w:rsidRPr="00364AFF" w:rsidRDefault="00364AFF">
      <w:pPr>
        <w:rPr>
          <w:rFonts w:ascii="Arial" w:hAnsi="Arial"/>
          <w:b/>
        </w:rPr>
      </w:pPr>
      <w:r w:rsidRPr="00364AFF">
        <w:rPr>
          <w:rFonts w:ascii="Arial" w:hAnsi="Arial"/>
          <w:b/>
        </w:rPr>
        <w:t>Korrespondenzadresse</w:t>
      </w:r>
    </w:p>
    <w:p w14:paraId="2FBBB3D7" w14:textId="1495FF03" w:rsidR="00364AFF" w:rsidRDefault="00364AFF">
      <w:pPr>
        <w:rPr>
          <w:rFonts w:ascii="Arial" w:hAnsi="Arial"/>
        </w:rPr>
      </w:pPr>
      <w:r>
        <w:rPr>
          <w:rFonts w:ascii="Arial" w:hAnsi="Arial"/>
        </w:rPr>
        <w:t>Dr. med. Angelika Rietz</w:t>
      </w:r>
    </w:p>
    <w:p w14:paraId="417DDD0C" w14:textId="0B3C49DA" w:rsidR="00364AFF" w:rsidRDefault="00364AFF">
      <w:pPr>
        <w:rPr>
          <w:rFonts w:ascii="Arial" w:hAnsi="Arial"/>
        </w:rPr>
      </w:pPr>
      <w:r>
        <w:rPr>
          <w:rFonts w:ascii="Arial" w:hAnsi="Arial"/>
        </w:rPr>
        <w:t>Dermatologin und Allergologin</w:t>
      </w:r>
    </w:p>
    <w:p w14:paraId="71791BD3" w14:textId="0B6915CB" w:rsidR="00364AFF" w:rsidRDefault="00120513">
      <w:pPr>
        <w:rPr>
          <w:rFonts w:ascii="Arial" w:hAnsi="Arial"/>
        </w:rPr>
      </w:pPr>
      <w:proofErr w:type="spellStart"/>
      <w:r>
        <w:rPr>
          <w:rFonts w:ascii="Arial" w:hAnsi="Arial"/>
        </w:rPr>
        <w:t>DermaCenter</w:t>
      </w:r>
      <w:proofErr w:type="spellEnd"/>
    </w:p>
    <w:p w14:paraId="5975C3D1" w14:textId="4EE27B8B" w:rsidR="00120513" w:rsidRDefault="00120513">
      <w:pPr>
        <w:rPr>
          <w:rFonts w:ascii="Arial" w:hAnsi="Arial"/>
        </w:rPr>
      </w:pPr>
      <w:r>
        <w:rPr>
          <w:rFonts w:ascii="Arial" w:hAnsi="Arial"/>
        </w:rPr>
        <w:t>Egerlandstr. 76</w:t>
      </w:r>
    </w:p>
    <w:p w14:paraId="61AA75FC" w14:textId="4488F2FC" w:rsidR="00120513" w:rsidRPr="00364AFF" w:rsidRDefault="00120513">
      <w:pPr>
        <w:rPr>
          <w:rFonts w:ascii="Arial" w:hAnsi="Arial"/>
        </w:rPr>
      </w:pPr>
      <w:r>
        <w:rPr>
          <w:rFonts w:ascii="Arial" w:hAnsi="Arial"/>
        </w:rPr>
        <w:t>82538 Geretsried</w:t>
      </w:r>
    </w:p>
    <w:sectPr w:rsidR="00120513" w:rsidRPr="00364AFF" w:rsidSect="00557DAA">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B12685"/>
    <w:multiLevelType w:val="hybridMultilevel"/>
    <w:tmpl w:val="0694D9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A864346"/>
    <w:multiLevelType w:val="hybridMultilevel"/>
    <w:tmpl w:val="003445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98C"/>
    <w:rsid w:val="00006549"/>
    <w:rsid w:val="00044D42"/>
    <w:rsid w:val="000650C4"/>
    <w:rsid w:val="00120513"/>
    <w:rsid w:val="00145F2F"/>
    <w:rsid w:val="00164BB6"/>
    <w:rsid w:val="00175CD2"/>
    <w:rsid w:val="00184CE1"/>
    <w:rsid w:val="001A5219"/>
    <w:rsid w:val="00205ECA"/>
    <w:rsid w:val="0033398C"/>
    <w:rsid w:val="00364AFF"/>
    <w:rsid w:val="0039411B"/>
    <w:rsid w:val="004214E0"/>
    <w:rsid w:val="004C7132"/>
    <w:rsid w:val="00531D61"/>
    <w:rsid w:val="00557DAA"/>
    <w:rsid w:val="00582F6B"/>
    <w:rsid w:val="00706D09"/>
    <w:rsid w:val="00721E9E"/>
    <w:rsid w:val="007609C7"/>
    <w:rsid w:val="007A054D"/>
    <w:rsid w:val="007A1610"/>
    <w:rsid w:val="007F57A8"/>
    <w:rsid w:val="008030D9"/>
    <w:rsid w:val="00906100"/>
    <w:rsid w:val="0091167E"/>
    <w:rsid w:val="00986B15"/>
    <w:rsid w:val="00A04D26"/>
    <w:rsid w:val="00A05558"/>
    <w:rsid w:val="00A87126"/>
    <w:rsid w:val="00AC5BEF"/>
    <w:rsid w:val="00B76B75"/>
    <w:rsid w:val="00BE7FB6"/>
    <w:rsid w:val="00BF59DB"/>
    <w:rsid w:val="00CF3A61"/>
    <w:rsid w:val="00DD55DE"/>
    <w:rsid w:val="00DE18AD"/>
    <w:rsid w:val="00E57C4C"/>
    <w:rsid w:val="00EA1BA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9A5D02E"/>
  <w14:defaultImageDpi w14:val="300"/>
  <w15:docId w15:val="{F7AF0E77-86F6-4301-9401-84DDCADA6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C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4C713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enabsatz">
    <w:name w:val="List Paragraph"/>
    <w:basedOn w:val="Standard"/>
    <w:uiPriority w:val="34"/>
    <w:qFormat/>
    <w:rsid w:val="00986B15"/>
    <w:pPr>
      <w:ind w:left="720"/>
      <w:contextualSpacing/>
    </w:pPr>
  </w:style>
  <w:style w:type="paragraph" w:styleId="Titel">
    <w:name w:val="Title"/>
    <w:basedOn w:val="Standard"/>
    <w:next w:val="Standard"/>
    <w:link w:val="TitelZchn"/>
    <w:uiPriority w:val="10"/>
    <w:qFormat/>
    <w:rsid w:val="00582F6B"/>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82F6B"/>
    <w:rPr>
      <w:rFonts w:asciiTheme="majorHAnsi" w:eastAsiaTheme="majorEastAsia" w:hAnsiTheme="majorHAnsi" w:cstheme="majorBidi"/>
      <w:spacing w:val="-10"/>
      <w:kern w:val="28"/>
      <w:sz w:val="56"/>
      <w:szCs w:val="5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1127</Words>
  <Characters>7782</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PC1</cp:lastModifiedBy>
  <cp:revision>3</cp:revision>
  <dcterms:created xsi:type="dcterms:W3CDTF">2021-11-09T11:12:00Z</dcterms:created>
  <dcterms:modified xsi:type="dcterms:W3CDTF">2021-11-09T11:15:00Z</dcterms:modified>
</cp:coreProperties>
</file>